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left"/>
        <w:textAlignment w:val="top"/>
        <w:rPr>
          <w:rFonts w:hint="eastAsia" w:ascii="仿宋" w:hAnsi="仿宋" w:eastAsia="仿宋" w:cs="仿宋"/>
          <w:b w:val="0"/>
          <w:bCs w:val="0"/>
          <w:kern w:val="0"/>
          <w:sz w:val="30"/>
          <w:szCs w:val="30"/>
          <w:lang w:val="en-US" w:eastAsia="zh-CN" w:bidi="ar"/>
        </w:rPr>
      </w:pPr>
      <w:bookmarkStart w:id="4" w:name="_GoBack"/>
      <w:bookmarkEnd w:id="4"/>
      <w:r>
        <w:rPr>
          <w:rFonts w:hint="eastAsia" w:ascii="仿宋" w:hAnsi="仿宋" w:eastAsia="仿宋" w:cs="仿宋"/>
          <w:b w:val="0"/>
          <w:bCs w:val="0"/>
          <w:kern w:val="0"/>
          <w:sz w:val="30"/>
          <w:szCs w:val="30"/>
          <w:lang w:val="en-US" w:eastAsia="zh-CN" w:bidi="ar"/>
        </w:rPr>
        <w:t>附件一：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firstLine="1200" w:firstLineChars="400"/>
        <w:jc w:val="left"/>
        <w:textAlignment w:val="top"/>
        <w:rPr>
          <w:rFonts w:hint="eastAsia" w:ascii="仿宋" w:hAnsi="仿宋" w:eastAsia="仿宋" w:cs="仿宋"/>
          <w:b w:val="0"/>
          <w:bCs w:val="0"/>
          <w:kern w:val="0"/>
          <w:sz w:val="30"/>
          <w:szCs w:val="30"/>
          <w:lang w:val="en-US" w:eastAsia="zh-CN" w:bidi="ar"/>
        </w:rPr>
      </w:pPr>
      <w:r>
        <w:rPr>
          <w:rFonts w:hint="eastAsia" w:ascii="仿宋" w:hAnsi="仿宋" w:eastAsia="仿宋" w:cs="仿宋"/>
          <w:i w:val="0"/>
          <w:caps w:val="0"/>
          <w:color w:val="666666"/>
          <w:spacing w:val="0"/>
          <w:sz w:val="30"/>
          <w:szCs w:val="30"/>
          <w:shd w:val="clear" w:fill="FFFFFF"/>
          <w:vertAlign w:val="baseline"/>
          <w:lang w:val="en-US" w:eastAsia="zh-CN"/>
        </w:rPr>
        <w:t>气囊式体外反搏装置采购需求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一、技术参数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心电参数：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1.1心电信号增益：多级增益可调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1.2心率显示：35次/min～165次/min时，心率显示误差≤±1次/min</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脉搏血氧参数：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2.1血氧饱和度显示范围：75-100%，多级增益可调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2.2脉博血氧饱和度安全和性能符合YY9706.261-2023要求，脉搏血氧模块、血氧探头经过临床准确性试验测试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▲2.3治疗中显示界面具有脉搏波与充排气曲线重叠比对显示功能，以便于观察治疗效果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3.触发模式：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3.1心电R波正负触发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3.2反搏比率1:1或1:2可调，触发行程40-120±1bmp</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4.压力参数：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4.1</w:t>
      </w:r>
      <w:bookmarkStart w:id="0" w:name="OLE_LINK4"/>
      <w:bookmarkStart w:id="1" w:name="OLE_LINK3"/>
      <w:r>
        <w:rPr>
          <w:rFonts w:hint="eastAsia" w:ascii="仿宋" w:hAnsi="仿宋" w:eastAsia="仿宋" w:cs="仿宋"/>
          <w:b w:val="0"/>
          <w:bCs/>
          <w:sz w:val="28"/>
          <w:szCs w:val="28"/>
          <w:shd w:val="clear" w:color="auto" w:fill="auto"/>
          <w:vertAlign w:val="baseline"/>
          <w:lang w:val="en-US" w:eastAsia="zh-CN"/>
        </w:rPr>
        <w:t>治疗压力单位以</w:t>
      </w:r>
      <w:bookmarkStart w:id="2" w:name="OLE_LINK1"/>
      <w:bookmarkStart w:id="3" w:name="OLE_LINK2"/>
      <w:r>
        <w:rPr>
          <w:rFonts w:hint="eastAsia" w:ascii="仿宋" w:hAnsi="仿宋" w:eastAsia="仿宋" w:cs="仿宋"/>
          <w:b w:val="0"/>
          <w:bCs/>
          <w:sz w:val="28"/>
          <w:szCs w:val="28"/>
          <w:shd w:val="clear" w:color="auto" w:fill="auto"/>
          <w:vertAlign w:val="baseline"/>
          <w:lang w:val="en-US" w:eastAsia="zh-CN"/>
        </w:rPr>
        <w:t>“千帕斯卡”显示，</w:t>
      </w:r>
      <w:bookmarkEnd w:id="2"/>
      <w:bookmarkEnd w:id="3"/>
      <w:r>
        <w:rPr>
          <w:rFonts w:hint="eastAsia" w:ascii="仿宋" w:hAnsi="仿宋" w:eastAsia="仿宋" w:cs="仿宋"/>
          <w:b w:val="0"/>
          <w:bCs/>
          <w:sz w:val="28"/>
          <w:szCs w:val="28"/>
          <w:shd w:val="clear" w:color="auto" w:fill="auto"/>
          <w:vertAlign w:val="baseline"/>
          <w:lang w:val="en-US" w:eastAsia="zh-CN"/>
        </w:rPr>
        <w:t>压力调控范围</w:t>
      </w:r>
      <w:bookmarkEnd w:id="0"/>
      <w:bookmarkEnd w:id="1"/>
      <w:r>
        <w:rPr>
          <w:rFonts w:hint="eastAsia" w:ascii="仿宋" w:hAnsi="仿宋" w:eastAsia="仿宋" w:cs="仿宋"/>
          <w:b w:val="0"/>
          <w:bCs/>
          <w:sz w:val="28"/>
          <w:szCs w:val="28"/>
          <w:shd w:val="clear" w:color="auto" w:fill="auto"/>
          <w:vertAlign w:val="baseline"/>
          <w:lang w:val="en-US" w:eastAsia="zh-CN"/>
        </w:rPr>
        <w:t>10-60kPa</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4.2具备自动稳压功能，治疗压力与设定压力误差≤±1kPa</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▲4.3具备负压强制排气功能，排气负压压力≥5kPa，心脏收缩期前夕迅速排出囊内气体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5.界面显示参数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5.1采用≥15英寸高分辨率显示器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5.2显示内容：脉搏波形、D/S峰值比、面积比、心电波形和心率值、充气状态和排气状态、治疗压力和治疗时间等数据参数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6.多重保护措施及保护显示：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6.1 心率保护：当心率显示值处于异常状态时，自动停止反搏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6.2 急停装置：反搏装置有急停装置，并固定安装在患者易于操作的位置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6.3 早搏保护：早搏信号能触发排气</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6.4 断电保护：当反搏装置断电时气囊处于排气状态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6.5工作压力保护：压力过高时自动泄压保护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7.机械部分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7.1产品由控制系统、供气系统、心电模块、脉搏血氧等组成</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7.2采用进口空气压缩机，降耗降噪，整机噪音符合国家标准≤67db（A）</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8.软件部分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8.1时间设定：治疗时间可以设定10到60分钟，治疗完成后自动停机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8.2充、排气点辅助设定系统：系统具备辅助操作者设定最佳充、排气点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▲8.3软件具备倒计时减压功能，进入倒计时2分钟时设备缓慢减小压力，提高治疗舒适度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9.气囊参数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9.1 分体式囊套，包扎紧密、灵活操作，适应不同身高及曲线的患者；囊套可单独选购损坏部件，节约成本</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9.2复合弹性内囊面积≥0.3m2，充气受力均衡，增加挤压效率，减少挤压疼痛，环保耐用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10.整机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10.1产品输入功率≥2500VA</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10.2压缩机最大功率≥1.85kW</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10.3压缩机最大流量≥48m3/h</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10.4整机承重≥150kg</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10.5操作系统可左右两侧任意安装，可适应不同场地需求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▲10.6具备成人/儿童模式切换功能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11.安全要求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11.1产品满足国家医学设备安全相关通用要求，如GB9706.1-2007《医用电气设备 第1部分：安全通用要求》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二、商务需求：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1、售后服务:负责调试安装至设备正常运转，接入医院信息化系统。设备质保三年，设备验收合格后开始计算，质保期满后提供终身维护及软件升级、零配件供应和维修（只收取零配件成本费，免收人工服务费），提供零部件供应价格清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2、故障响应：电话远程连接提供及时的在线工程师技术支持故障响应到位时间4小时内，到位修复时间48小时内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3、技术培训要求：供应商应提供现场技术培训，保证使用人员正常操作设备的各种功能。培训内容至少包括：</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①对使用操作人员提供的正常使用和简单维护培训，应提供系统的培训教材，保证培训质量。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②成交供应商除按要求现场培训外，适时提供远程指导等多种培训方式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4、包装：原厂原包装送货，货到采购人指定地点，经采购人指定人员验证后方可开箱</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5、本项目的安装由成交供应商负责，成交供应商应对产品和系统安装提供全面的技术服务与支持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6、对于验收不合格的，采购人有权退货，由此带来的一切损失由中标人自行负责。验收合格的，验收报告作为申请支付货款的依据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7、设备使用年限：≧10年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shd w:val="clear" w:color="auto" w:fill="auto"/>
          <w:vertAlign w:val="baseline"/>
          <w:lang w:val="en-US" w:eastAsia="zh-CN"/>
        </w:rPr>
      </w:pPr>
      <w:r>
        <w:rPr>
          <w:rFonts w:hint="eastAsia" w:ascii="仿宋" w:hAnsi="仿宋" w:eastAsia="仿宋" w:cs="仿宋"/>
          <w:b w:val="0"/>
          <w:bCs/>
          <w:sz w:val="28"/>
          <w:szCs w:val="28"/>
          <w:shd w:val="clear" w:color="auto" w:fill="auto"/>
          <w:vertAlign w:val="baseline"/>
          <w:lang w:val="en-US" w:eastAsia="zh-CN"/>
        </w:rPr>
        <w:t>8、设备生产日期：生产日期在6个月以内</w:t>
      </w:r>
    </w:p>
    <w:p>
      <w:pPr>
        <w:pStyle w:val="2"/>
        <w:rPr>
          <w:rFonts w:hint="eastAsia"/>
          <w:lang w:val="en-US"/>
        </w:rPr>
      </w:pPr>
      <w:r>
        <w:rPr>
          <w:rFonts w:hint="eastAsia" w:ascii="仿宋" w:hAnsi="仿宋" w:eastAsia="仿宋" w:cs="仿宋"/>
          <w:b w:val="0"/>
          <w:bCs/>
          <w:sz w:val="28"/>
          <w:szCs w:val="28"/>
          <w:shd w:val="clear" w:color="auto" w:fill="auto"/>
          <w:vertAlign w:val="baseline"/>
          <w:lang w:val="en-US" w:eastAsia="zh-CN"/>
        </w:rPr>
        <w:t>三、评分细则</w:t>
      </w:r>
    </w:p>
    <w:tbl>
      <w:tblPr>
        <w:tblStyle w:val="9"/>
        <w:tblW w:w="896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5"/>
        <w:gridCol w:w="860"/>
        <w:gridCol w:w="520"/>
        <w:gridCol w:w="673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71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评标因素和标准分因素</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分值</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评分标准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926" w:hRule="atLeast"/>
          <w:jc w:val="center"/>
        </w:trPr>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价格部分(A1)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30分</w:t>
            </w: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设备投标价</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30</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0" w:after="0" w:afterAutospacing="0"/>
              <w:ind w:left="0" w:right="0" w:firstLine="240" w:firstLineChars="100"/>
              <w:jc w:val="both"/>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以满足采购文件要求且投标价格最低的投标报价为评标基准价，其价格分为满分。其他供应商的价格分统一按照下列公式计算：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0"/>
              <w:ind w:left="0" w:right="0"/>
              <w:jc w:val="both"/>
              <w:textAlignment w:val="top"/>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投标报价得分=(评标基准价÷投标报价)×30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9" w:afterLines="50" w:afterAutospacing="0"/>
              <w:ind w:right="0" w:firstLine="240" w:firstLineChars="100"/>
              <w:jc w:val="both"/>
              <w:textAlignment w:val="top"/>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224" w:hRule="atLeast"/>
          <w:jc w:val="center"/>
        </w:trPr>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技术部分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(A2)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51分</w:t>
            </w: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设备技术参数</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textAlignment w:val="top"/>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51</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0" w:after="0" w:afterAutospacing="0"/>
              <w:ind w:left="0" w:right="0"/>
              <w:jc w:val="both"/>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1、完全满足采购文件的技术要求的，计满分51分；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2、任何一项注“★”技术参数及商务条款出现负偏离或不响应的，视为无效投标；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3、注“▲”技术参数及商务条款为重要参数，每偏离一项扣6分。一般参数每偏离一项扣4分。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Autospacing="0"/>
              <w:ind w:left="0" w:right="0"/>
              <w:jc w:val="both"/>
              <w:textAlignment w:val="top"/>
              <w:rPr>
                <w:rFonts w:hint="default" w:ascii="仿宋" w:hAnsi="仿宋" w:eastAsia="仿宋" w:cs="仿宋"/>
                <w:color w:val="auto"/>
                <w:kern w:val="0"/>
                <w:sz w:val="24"/>
                <w:szCs w:val="24"/>
                <w:lang w:val="en-US" w:eastAsia="zh-CN" w:bidi="ar"/>
              </w:rPr>
            </w:pPr>
            <w:r>
              <w:rPr>
                <w:rFonts w:hint="eastAsia" w:ascii="仿宋" w:hAnsi="仿宋" w:eastAsia="仿宋" w:cs="仿宋"/>
                <w:b w:val="0"/>
                <w:bCs w:val="0"/>
                <w:kern w:val="0"/>
                <w:sz w:val="24"/>
                <w:szCs w:val="24"/>
                <w:lang w:val="en-US" w:eastAsia="zh-CN" w:bidi="ar"/>
              </w:rPr>
              <w:t>4、</w:t>
            </w:r>
            <w:r>
              <w:rPr>
                <w:rFonts w:hint="default" w:ascii="仿宋" w:hAnsi="仿宋" w:eastAsia="仿宋" w:cs="仿宋"/>
                <w:color w:val="auto"/>
                <w:kern w:val="0"/>
                <w:sz w:val="24"/>
                <w:szCs w:val="24"/>
                <w:lang w:val="en-US" w:eastAsia="zh-CN" w:bidi="ar"/>
              </w:rPr>
              <w:t>技术</w:t>
            </w:r>
            <w:r>
              <w:rPr>
                <w:rFonts w:hint="eastAsia" w:ascii="仿宋" w:hAnsi="仿宋" w:eastAsia="仿宋" w:cs="仿宋"/>
                <w:color w:val="auto"/>
                <w:kern w:val="0"/>
                <w:sz w:val="24"/>
                <w:szCs w:val="24"/>
                <w:lang w:val="en-US" w:eastAsia="zh-CN" w:bidi="ar"/>
              </w:rPr>
              <w:t>参数提供</w:t>
            </w:r>
            <w:r>
              <w:rPr>
                <w:rFonts w:hint="default" w:ascii="仿宋" w:hAnsi="仿宋" w:eastAsia="仿宋" w:cs="仿宋"/>
                <w:color w:val="auto"/>
                <w:kern w:val="0"/>
                <w:sz w:val="24"/>
                <w:szCs w:val="24"/>
                <w:lang w:val="en-US" w:eastAsia="zh-CN" w:bidi="ar"/>
              </w:rPr>
              <w:t>佐证证明</w:t>
            </w:r>
            <w:r>
              <w:rPr>
                <w:rFonts w:hint="eastAsia" w:ascii="仿宋" w:hAnsi="仿宋" w:eastAsia="仿宋" w:cs="仿宋"/>
                <w:color w:val="auto"/>
                <w:kern w:val="0"/>
                <w:sz w:val="24"/>
                <w:szCs w:val="24"/>
                <w:lang w:val="en-US" w:eastAsia="zh-CN" w:bidi="ar"/>
              </w:rPr>
              <w:t>材料(</w:t>
            </w:r>
            <w:r>
              <w:rPr>
                <w:rFonts w:hint="eastAsia" w:ascii="仿宋" w:hAnsi="仿宋" w:eastAsia="仿宋" w:cs="仿宋"/>
                <w:b/>
                <w:bCs/>
                <w:color w:val="auto"/>
                <w:kern w:val="0"/>
                <w:sz w:val="24"/>
                <w:szCs w:val="24"/>
                <w:lang w:val="en-US" w:eastAsia="zh-CN" w:bidi="ar"/>
              </w:rPr>
              <w:t>说明书复印件、检测报告复印件、实物照片或彩页</w:t>
            </w:r>
            <w:r>
              <w:rPr>
                <w:rFonts w:hint="eastAsia" w:ascii="仿宋" w:hAnsi="仿宋" w:eastAsia="仿宋" w:cs="仿宋"/>
                <w:color w:val="auto"/>
                <w:kern w:val="0"/>
                <w:sz w:val="24"/>
                <w:szCs w:val="24"/>
                <w:lang w:val="en-US" w:eastAsia="zh-CN" w:bidi="ar"/>
              </w:rPr>
              <w:t>并加盖投标供应商公章)，</w:t>
            </w:r>
            <w:r>
              <w:rPr>
                <w:rFonts w:hint="eastAsia" w:ascii="仿宋" w:hAnsi="仿宋" w:eastAsia="仿宋" w:cs="仿宋"/>
                <w:b/>
                <w:bCs/>
                <w:color w:val="auto"/>
                <w:kern w:val="0"/>
                <w:sz w:val="24"/>
                <w:szCs w:val="24"/>
                <w:lang w:val="en-US" w:eastAsia="zh-CN" w:bidi="ar"/>
              </w:rPr>
              <w:t>未提供视为不响应</w:t>
            </w:r>
            <w:r>
              <w:rPr>
                <w:rFonts w:hint="eastAsia" w:ascii="仿宋" w:hAnsi="仿宋" w:eastAsia="仿宋" w:cs="仿宋"/>
                <w:color w:val="auto"/>
                <w:kern w:val="0"/>
                <w:sz w:val="24"/>
                <w:szCs w:val="24"/>
                <w:lang w:val="en-US" w:eastAsia="zh-CN" w:bidi="ar"/>
              </w:rPr>
              <w:t>；</w:t>
            </w:r>
            <w:r>
              <w:rPr>
                <w:rFonts w:hint="default" w:ascii="仿宋" w:hAnsi="仿宋" w:eastAsia="仿宋" w:cs="仿宋"/>
                <w:color w:val="auto"/>
                <w:kern w:val="0"/>
                <w:sz w:val="24"/>
                <w:szCs w:val="24"/>
                <w:lang w:val="en-US" w:eastAsia="zh-CN" w:bidi="ar"/>
              </w:rPr>
              <w:t>技术要求响应缺漏项的，按负偏离扣分；所有条款无响应或负偏离</w:t>
            </w:r>
            <w:r>
              <w:rPr>
                <w:rFonts w:hint="eastAsia" w:ascii="仿宋" w:hAnsi="仿宋" w:eastAsia="仿宋" w:cs="仿宋"/>
                <w:b/>
                <w:bCs/>
                <w:color w:val="auto"/>
                <w:kern w:val="0"/>
                <w:sz w:val="24"/>
                <w:szCs w:val="24"/>
                <w:lang w:val="en-US" w:eastAsia="zh-CN" w:bidi="ar"/>
              </w:rPr>
              <w:t>≥6</w:t>
            </w:r>
            <w:r>
              <w:rPr>
                <w:rFonts w:hint="default" w:ascii="仿宋" w:hAnsi="仿宋" w:eastAsia="仿宋" w:cs="仿宋"/>
                <w:b/>
                <w:bCs/>
                <w:color w:val="auto"/>
                <w:kern w:val="0"/>
                <w:sz w:val="24"/>
                <w:szCs w:val="24"/>
                <w:lang w:val="en-US" w:eastAsia="zh-CN" w:bidi="ar"/>
              </w:rPr>
              <w:t>项即视为无效投标</w:t>
            </w:r>
            <w:r>
              <w:rPr>
                <w:rFonts w:hint="default" w:ascii="仿宋" w:hAnsi="仿宋" w:eastAsia="仿宋" w:cs="仿宋"/>
                <w:color w:val="auto"/>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0" w:after="156" w:afterAutospacing="0"/>
              <w:ind w:left="0" w:right="0"/>
              <w:jc w:val="both"/>
              <w:textAlignment w:val="top"/>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5、投标文件须对采购需求逐项响应，在技术偏离表中标注说明文件或说明材料所在页码或所在章节，未标注视为不响应。</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1776" w:hRule="atLeast"/>
          <w:jc w:val="center"/>
        </w:trPr>
        <w:tc>
          <w:tcPr>
            <w:tcW w:w="855" w:type="dxa"/>
            <w:vMerge w:val="restart"/>
            <w:tcBorders>
              <w:top w:val="single" w:color="auto" w:sz="4" w:space="0"/>
              <w:left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1" w:afterAutospacing="0"/>
              <w:ind w:left="0" w:right="0"/>
              <w:jc w:val="center"/>
              <w:rPr>
                <w:rFonts w:hint="eastAsia" w:ascii="仿宋" w:hAnsi="仿宋" w:eastAsia="仿宋" w:cs="仿宋"/>
              </w:rPr>
            </w:pPr>
            <w:r>
              <w:rPr>
                <w:rFonts w:hint="eastAsia" w:ascii="仿宋" w:hAnsi="仿宋" w:eastAsia="仿宋" w:cs="仿宋"/>
                <w:b w:val="0"/>
                <w:bCs w:val="0"/>
                <w:kern w:val="0"/>
                <w:sz w:val="24"/>
                <w:szCs w:val="24"/>
                <w:lang w:val="en-US" w:eastAsia="zh-CN" w:bidi="ar"/>
              </w:rPr>
              <w:t>商务部分(A3)</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Autospacing="0" w:after="0" w:afterAutospacing="0"/>
              <w:ind w:left="0" w:leftChars="0" w:right="0" w:rightChars="0" w:firstLine="0" w:firstLineChars="0"/>
              <w:jc w:val="center"/>
              <w:rPr>
                <w:rFonts w:hint="eastAsia" w:ascii="仿宋" w:hAnsi="仿宋" w:eastAsia="仿宋" w:cs="仿宋"/>
                <w:b w:val="0"/>
                <w:bCs w:val="0"/>
                <w:sz w:val="18"/>
                <w:szCs w:val="18"/>
              </w:rPr>
            </w:pPr>
            <w:r>
              <w:rPr>
                <w:rFonts w:hint="eastAsia" w:ascii="仿宋" w:hAnsi="仿宋" w:eastAsia="仿宋" w:cs="仿宋"/>
                <w:b w:val="0"/>
                <w:bCs w:val="0"/>
                <w:kern w:val="0"/>
                <w:sz w:val="24"/>
                <w:szCs w:val="24"/>
                <w:lang w:val="en-US" w:eastAsia="zh-CN" w:bidi="ar"/>
              </w:rPr>
              <w:t>19分</w:t>
            </w: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1" w:after="0" w:afterAutospacing="0"/>
              <w:ind w:left="0" w:leftChars="0" w:right="0" w:rightChars="0"/>
              <w:jc w:val="center"/>
              <w:rPr>
                <w:rFonts w:hint="eastAsia" w:ascii="仿宋" w:hAnsi="仿宋" w:eastAsia="仿宋" w:cs="仿宋"/>
                <w:b w:val="0"/>
                <w:bCs w:val="0"/>
                <w:sz w:val="18"/>
                <w:szCs w:val="18"/>
                <w:lang w:val="en-US"/>
              </w:rPr>
            </w:pPr>
            <w:r>
              <w:rPr>
                <w:rFonts w:hint="eastAsia" w:ascii="仿宋" w:hAnsi="仿宋" w:eastAsia="仿宋" w:cs="仿宋"/>
                <w:b w:val="0"/>
                <w:bCs w:val="0"/>
                <w:color w:val="000000"/>
                <w:kern w:val="0"/>
                <w:sz w:val="24"/>
                <w:szCs w:val="24"/>
                <w:lang w:val="en-US" w:eastAsia="zh-CN" w:bidi="ar"/>
              </w:rPr>
              <w:t>售后服务及方案</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1" w:after="0" w:afterAutospacing="0"/>
              <w:ind w:left="0" w:leftChars="0" w:right="0" w:rightChars="0"/>
              <w:jc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10</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Autospacing="0" w:afterAutospacing="0"/>
              <w:ind w:left="0" w:leftChars="0" w:right="0" w:rightChars="0"/>
              <w:jc w:val="both"/>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000000"/>
                <w:kern w:val="0"/>
                <w:sz w:val="24"/>
                <w:szCs w:val="24"/>
                <w:lang w:val="en-US" w:eastAsia="zh-CN" w:bidi="ar"/>
              </w:rPr>
              <w:t>1、</w:t>
            </w:r>
            <w:r>
              <w:rPr>
                <w:rFonts w:hint="eastAsia" w:ascii="仿宋" w:hAnsi="仿宋" w:eastAsia="仿宋" w:cs="仿宋"/>
                <w:b w:val="0"/>
                <w:bCs w:val="0"/>
                <w:color w:val="auto"/>
                <w:kern w:val="0"/>
                <w:sz w:val="24"/>
                <w:szCs w:val="24"/>
                <w:shd w:val="clear" w:color="auto" w:fill="auto"/>
                <w:lang w:val="en-US" w:eastAsia="zh-CN" w:bidi="ar"/>
              </w:rPr>
              <w:t>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Autospacing="0" w:after="159" w:afterLines="50" w:afterAutospacing="0"/>
              <w:ind w:left="0" w:leftChars="0" w:right="0" w:rightChars="0"/>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（欠合理或不符合指：非专门针对本项目设备或不适用本项目设备的情形、内容不完整或缺少关键点、套用其他项目方案、内容前后矛盾、存在歧义、混乱、不可能实现的情形等任意一种情形。）</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Autospacing="0" w:after="159" w:afterLines="50" w:afterAutospacing="0"/>
              <w:ind w:left="0" w:leftChars="0" w:right="0" w:rightChars="0"/>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2、质保期后维保方案 ：有维修方案和应急预案、维修人员费用和零备件价格清单，计2分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1097" w:hRule="atLeast"/>
          <w:jc w:val="center"/>
        </w:trPr>
        <w:tc>
          <w:tcPr>
            <w:tcW w:w="855" w:type="dxa"/>
            <w:vMerge w:val="continue"/>
            <w:tcBorders>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Autospacing="0" w:after="0" w:afterAutospacing="0"/>
              <w:ind w:left="0" w:leftChars="0" w:right="0" w:rightChars="0" w:firstLine="0" w:firstLineChars="0"/>
              <w:jc w:val="center"/>
              <w:rPr>
                <w:rFonts w:hint="eastAsia" w:ascii="仿宋" w:hAnsi="仿宋" w:eastAsia="仿宋" w:cs="仿宋"/>
                <w:b w:val="0"/>
                <w:bCs w:val="0"/>
                <w:kern w:val="0"/>
                <w:sz w:val="24"/>
                <w:szCs w:val="24"/>
                <w:lang w:val="en-US" w:eastAsia="zh-CN" w:bidi="ar"/>
              </w:rPr>
            </w:pPr>
          </w:p>
        </w:tc>
        <w:tc>
          <w:tcPr>
            <w:tcW w:w="86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1" w:after="0" w:afterAutospacing="0"/>
              <w:ind w:left="0" w:leftChars="0" w:right="0" w:rightChars="0"/>
              <w:jc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产品业绩</w:t>
            </w:r>
          </w:p>
        </w:tc>
        <w:tc>
          <w:tcPr>
            <w:tcW w:w="520"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1" w:after="0" w:afterAutospacing="0"/>
              <w:ind w:left="0" w:leftChars="0" w:right="0" w:rightChars="0"/>
              <w:jc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9</w:t>
            </w:r>
          </w:p>
        </w:tc>
        <w:tc>
          <w:tcPr>
            <w:tcW w:w="6731" w:type="dxa"/>
            <w:tcBorders>
              <w:top w:val="single" w:color="auto" w:sz="4" w:space="0"/>
              <w:left w:val="single" w:color="auto" w:sz="4" w:space="0"/>
              <w:bottom w:val="single" w:color="auto" w:sz="4" w:space="0"/>
              <w:right w:val="single" w:color="auto" w:sz="4" w:space="0"/>
              <w:tl2br w:val="nil"/>
              <w:tr2bl w:val="nil"/>
            </w:tcBorders>
            <w:shd w:val="clear" w:color="auto" w:fill="auto"/>
            <w:tcMar>
              <w:top w:w="0" w:type="dxa"/>
              <w:left w:w="108" w:type="dxa"/>
              <w:bottom w:w="0" w:type="dxa"/>
              <w:right w:w="108"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Autospacing="0" w:after="159" w:afterLines="50" w:afterAutospacing="0"/>
              <w:ind w:left="0" w:leftChars="0" w:right="0" w:rightChars="0"/>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投标人提供所投产品近三年内销售业绩证明材料(如合同、中标通知书等相关证明材料复印件)并加盖单位公章，每提供一份计3分，满分计9分，未提供不计分；</w:t>
            </w:r>
          </w:p>
        </w:tc>
      </w:tr>
    </w:tbl>
    <w:p>
      <w:pPr>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br w:type="page"/>
      </w:r>
    </w:p>
    <w:p>
      <w:pPr>
        <w:rPr>
          <w:rFonts w:hint="eastAsia"/>
          <w:b/>
          <w:bCs/>
          <w:sz w:val="30"/>
          <w:szCs w:val="30"/>
          <w:lang w:val="en-US" w:eastAsia="zh-CN"/>
        </w:rPr>
      </w:pPr>
    </w:p>
    <w:p>
      <w:pPr>
        <w:adjustRightInd w:val="0"/>
        <w:snapToGrid w:val="0"/>
        <w:spacing w:line="360" w:lineRule="auto"/>
        <w:jc w:val="both"/>
        <w:rPr>
          <w:rFonts w:hint="default"/>
          <w:b/>
          <w:color w:val="000000" w:themeColor="text1"/>
          <w:sz w:val="28"/>
          <w:szCs w:val="28"/>
          <w:highlight w:val="none"/>
          <w:lang w:val="en-US" w:eastAsia="zh-CN"/>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附件二：</w:t>
      </w:r>
    </w:p>
    <w:p/>
    <w:p>
      <w:pPr>
        <w:ind w:firstLine="2891" w:firstLineChars="8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z w:val="36"/>
          <w:szCs w:val="36"/>
          <w:lang w:val="en-US" w:eastAsia="zh-CN"/>
        </w:rPr>
        <w:t>投标报价表</w:t>
      </w:r>
      <w:r>
        <w:rPr>
          <w:rFonts w:hint="eastAsia" w:ascii="仿宋_GB2312" w:hAnsi="仿宋_GB2312" w:eastAsia="仿宋_GB2312" w:cs="仿宋_GB2312"/>
          <w:sz w:val="32"/>
          <w:szCs w:val="32"/>
          <w:lang w:val="en-US" w:eastAsia="zh-CN"/>
        </w:rPr>
        <w:t xml:space="preserve"> </w:t>
      </w:r>
    </w:p>
    <w:tbl>
      <w:tblPr>
        <w:tblStyle w:val="10"/>
        <w:tblW w:w="10050" w:type="dxa"/>
        <w:tblInd w:w="-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20"/>
        <w:gridCol w:w="2865"/>
        <w:gridCol w:w="255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Align w:val="center"/>
          </w:tcPr>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920" w:type="dxa"/>
            <w:vAlign w:val="center"/>
          </w:tcPr>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采购项目名称</w:t>
            </w:r>
          </w:p>
        </w:tc>
        <w:tc>
          <w:tcPr>
            <w:tcW w:w="2865" w:type="dxa"/>
            <w:vAlign w:val="center"/>
          </w:tcPr>
          <w:p>
            <w:pPr>
              <w:widowControl w:val="0"/>
              <w:jc w:val="both"/>
              <w:rPr>
                <w:rFonts w:hint="default" w:ascii="仿宋_GB2312" w:hAnsi="仿宋_GB2312" w:eastAsia="仿宋_GB2312" w:cs="仿宋_GB2312"/>
                <w:sz w:val="32"/>
                <w:szCs w:val="32"/>
                <w:vertAlign w:val="baseline"/>
                <w:lang w:val="en-US" w:eastAsia="zh-CN"/>
              </w:rPr>
            </w:pPr>
          </w:p>
        </w:tc>
        <w:tc>
          <w:tcPr>
            <w:tcW w:w="2550" w:type="dxa"/>
            <w:vAlign w:val="center"/>
          </w:tcPr>
          <w:p>
            <w:pPr>
              <w:widowControl w:val="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采购编号</w:t>
            </w:r>
          </w:p>
        </w:tc>
        <w:tc>
          <w:tcPr>
            <w:tcW w:w="2040" w:type="dxa"/>
            <w:vAlign w:val="center"/>
          </w:tcPr>
          <w:p>
            <w:pPr>
              <w:widowControl w:val="0"/>
              <w:ind w:left="320" w:hanging="320" w:hangingChars="100"/>
              <w:jc w:val="both"/>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Align w:val="center"/>
          </w:tcPr>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920" w:type="dxa"/>
            <w:vAlign w:val="center"/>
          </w:tcPr>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供应商</w:t>
            </w:r>
          </w:p>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名称</w:t>
            </w:r>
          </w:p>
        </w:tc>
        <w:tc>
          <w:tcPr>
            <w:tcW w:w="7455" w:type="dxa"/>
            <w:gridSpan w:val="3"/>
            <w:vAlign w:val="center"/>
          </w:tcPr>
          <w:p>
            <w:pPr>
              <w:widowControl w:val="0"/>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75" w:type="dxa"/>
            <w:vAlign w:val="center"/>
          </w:tcPr>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920" w:type="dxa"/>
            <w:vAlign w:val="center"/>
          </w:tcPr>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数量</w:t>
            </w:r>
          </w:p>
        </w:tc>
        <w:tc>
          <w:tcPr>
            <w:tcW w:w="7455" w:type="dxa"/>
            <w:gridSpan w:val="3"/>
            <w:vAlign w:val="center"/>
          </w:tcPr>
          <w:p>
            <w:pPr>
              <w:widowControl w:val="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675" w:type="dxa"/>
            <w:vAlign w:val="center"/>
          </w:tcPr>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920" w:type="dxa"/>
            <w:vAlign w:val="center"/>
          </w:tcPr>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总报价</w:t>
            </w:r>
          </w:p>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人民币</w:t>
            </w:r>
          </w:p>
        </w:tc>
        <w:tc>
          <w:tcPr>
            <w:tcW w:w="7455" w:type="dxa"/>
            <w:gridSpan w:val="3"/>
            <w:vAlign w:val="center"/>
          </w:tcPr>
          <w:p>
            <w:pPr>
              <w:widowControl w:val="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大写：                     元人民币整</w:t>
            </w:r>
          </w:p>
          <w:p>
            <w:pPr>
              <w:widowControl w:val="0"/>
              <w:jc w:val="both"/>
              <w:rPr>
                <w:rFonts w:hint="eastAsia" w:ascii="仿宋_GB2312" w:hAnsi="仿宋_GB2312" w:eastAsia="仿宋_GB2312" w:cs="仿宋_GB2312"/>
                <w:sz w:val="32"/>
                <w:szCs w:val="32"/>
                <w:vertAlign w:val="baseline"/>
                <w:lang w:val="en-US" w:eastAsia="zh-CN"/>
              </w:rPr>
            </w:pPr>
          </w:p>
          <w:p>
            <w:pPr>
              <w:widowControl w:val="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小写：                     元人民币整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675" w:type="dxa"/>
            <w:vAlign w:val="center"/>
          </w:tcPr>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920" w:type="dxa"/>
            <w:vAlign w:val="center"/>
          </w:tcPr>
          <w:p>
            <w:pPr>
              <w:widowControl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c>
          <w:tcPr>
            <w:tcW w:w="7455" w:type="dxa"/>
            <w:gridSpan w:val="3"/>
            <w:vAlign w:val="center"/>
          </w:tcPr>
          <w:p>
            <w:pPr>
              <w:widowControl w:val="0"/>
              <w:jc w:val="center"/>
              <w:rPr>
                <w:rFonts w:hint="eastAsia" w:ascii="仿宋_GB2312" w:hAnsi="仿宋_GB2312" w:eastAsia="仿宋_GB2312" w:cs="仿宋_GB2312"/>
                <w:sz w:val="32"/>
                <w:szCs w:val="32"/>
                <w:vertAlign w:val="baseline"/>
                <w:lang w:val="en-US" w:eastAsia="zh-CN"/>
              </w:rPr>
            </w:pPr>
          </w:p>
        </w:tc>
      </w:tr>
    </w:tbl>
    <w:p>
      <w:pPr>
        <w:jc w:val="left"/>
        <w:rPr>
          <w:rFonts w:hint="eastAsia" w:ascii="仿宋_GB2312" w:hAnsi="仿宋_GB2312" w:eastAsia="仿宋_GB2312" w:cs="仿宋_GB2312"/>
          <w:sz w:val="32"/>
          <w:szCs w:val="32"/>
          <w:lang w:val="en-US" w:eastAsia="zh-CN"/>
        </w:rPr>
      </w:pPr>
    </w:p>
    <w:p>
      <w:pPr>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说明：本表不要装订在响应文件内 ，单独密封递交</w:t>
      </w:r>
    </w:p>
    <w:p>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ilvl w:val="0"/>
          <w:numId w:val="0"/>
        </w:numPr>
        <w:ind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法定代表人或其委托代理人签字：</w:t>
      </w:r>
    </w:p>
    <w:p>
      <w:pPr>
        <w:pStyle w:val="7"/>
        <w:ind w:firstLine="5440" w:firstLineChars="1700"/>
        <w:rPr>
          <w:rFonts w:hint="default"/>
          <w:lang w:val="en-US" w:eastAsia="zh-CN"/>
        </w:rPr>
      </w:pPr>
      <w:r>
        <w:rPr>
          <w:rFonts w:hint="eastAsia" w:ascii="仿宋_GB2312" w:hAnsi="仿宋_GB2312" w:eastAsia="仿宋_GB2312" w:cs="仿宋_GB2312"/>
          <w:sz w:val="32"/>
          <w:szCs w:val="32"/>
          <w:lang w:val="en-US" w:eastAsia="zh-CN"/>
        </w:rPr>
        <w:t>年   月    日</w:t>
      </w:r>
    </w:p>
    <w:p>
      <w:pPr>
        <w:widowControl/>
        <w:spacing w:line="360" w:lineRule="auto"/>
        <w:ind w:firstLine="320" w:firstLineChars="100"/>
        <w:rPr>
          <w:rFonts w:hint="eastAsia" w:hAnsi="宋体" w:cs="宋体"/>
          <w:b/>
          <w:color w:val="000000"/>
          <w:kern w:val="0"/>
          <w:sz w:val="32"/>
          <w:szCs w:val="32"/>
        </w:rPr>
      </w:pPr>
    </w:p>
    <w:p>
      <w:pPr>
        <w:pStyle w:val="2"/>
      </w:pPr>
    </w:p>
    <w:p>
      <w:pPr>
        <w:adjustRightInd w:val="0"/>
        <w:snapToGrid w:val="0"/>
        <w:spacing w:line="360" w:lineRule="auto"/>
        <w:jc w:val="both"/>
        <w:rPr>
          <w:rFonts w:hint="default"/>
          <w:b/>
          <w:color w:val="000000" w:themeColor="text1"/>
          <w:sz w:val="28"/>
          <w:szCs w:val="28"/>
          <w:highlight w:val="none"/>
          <w:lang w:val="en-US" w:eastAsia="zh-CN"/>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附件三：</w:t>
      </w:r>
    </w:p>
    <w:p>
      <w:pPr>
        <w:adjustRightInd w:val="0"/>
        <w:snapToGrid w:val="0"/>
        <w:spacing w:line="360" w:lineRule="auto"/>
        <w:jc w:val="cente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投标人资格声明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采购</w:t>
      </w:r>
      <w:r>
        <w:rPr>
          <w:rFonts w:hint="eastAsia" w:ascii="仿宋" w:hAnsi="仿宋" w:eastAsia="仿宋" w:cs="仿宋"/>
          <w:sz w:val="28"/>
          <w:szCs w:val="28"/>
        </w:rPr>
        <w:t>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按照</w:t>
      </w:r>
      <w:r>
        <w:rPr>
          <w:rFonts w:hint="eastAsia" w:ascii="仿宋" w:hAnsi="仿宋" w:eastAsia="仿宋" w:cs="仿宋"/>
          <w:sz w:val="28"/>
          <w:szCs w:val="28"/>
          <w:lang w:eastAsia="zh-CN"/>
        </w:rPr>
        <w:t>遴选文件</w:t>
      </w:r>
      <w:r>
        <w:rPr>
          <w:rFonts w:hint="eastAsia" w:ascii="仿宋" w:hAnsi="仿宋" w:eastAsia="仿宋" w:cs="仿宋"/>
          <w:sz w:val="28"/>
          <w:szCs w:val="28"/>
        </w:rPr>
        <w:t>的规定，我单位郑重声明如下：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一、我单位是按照中华人民共和国法律规定登记注册的，注册地点为      ，全称为      ，统一社会信用代码为      ，法定代表人为      ，具有独立承担民事责任的能力。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二、我单位具有良好的商业信誉和健全的财务会计制度。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三、我单位具有履行本项目采购合同所必需的设备和专业技术能力。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四、我单位在参加本</w:t>
      </w:r>
      <w:r>
        <w:rPr>
          <w:rFonts w:hint="eastAsia" w:ascii="仿宋" w:hAnsi="仿宋" w:eastAsia="仿宋" w:cs="仿宋"/>
          <w:sz w:val="28"/>
          <w:szCs w:val="28"/>
          <w:lang w:val="en-US" w:eastAsia="zh-CN"/>
        </w:rPr>
        <w:t>遴选</w:t>
      </w:r>
      <w:r>
        <w:rPr>
          <w:rFonts w:hint="eastAsia" w:ascii="仿宋" w:hAnsi="仿宋" w:eastAsia="仿宋" w:cs="仿宋"/>
          <w:sz w:val="28"/>
          <w:szCs w:val="28"/>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五、我单位具备法律、行政法规规定的其他条件。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六、与我单位存在“单位负责人为同一人或者存在直接控股、管理关系”的其他法人单位信息如下（如无，填写“无”）：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1、与我单位的法定代表人（单位负责人）为同一人的其他法人单位如下：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 xml:space="preserve">2、我单位直接控股的其他法人单位如下：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 xml:space="preserve">3、与我单位存在管理关系的其他法人单位如下：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我单位保证上述声明的事项都是真实的，如有虚假，我单位愿意承担相应的法律责任，并承担因此所造成的一切损失。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我单位保证随时按照要求提供能够证明上述声明事项真实性的任何有效文件。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firstLine="4200" w:firstLineChars="15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投标人名称（盖单位公章）：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firstLine="4200" w:firstLineChars="1500"/>
        <w:jc w:val="both"/>
        <w:textAlignment w:val="top"/>
        <w:outlineLvl w:val="9"/>
        <w:rPr>
          <w:rFonts w:hint="eastAsia" w:ascii="仿宋" w:hAnsi="仿宋" w:eastAsia="仿宋" w:cs="仿宋"/>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firstLine="4200" w:firstLineChars="15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法定代表人或委托代理人（签字）：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5040" w:firstLineChars="1800"/>
        <w:jc w:val="both"/>
        <w:textAlignment w:val="top"/>
        <w:outlineLvl w:val="9"/>
        <w:rPr>
          <w:rFonts w:hint="eastAsia" w:ascii="仿宋" w:hAnsi="仿宋" w:eastAsia="仿宋" w:cs="仿宋"/>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5040" w:firstLineChars="1800"/>
        <w:jc w:val="both"/>
        <w:textAlignment w:val="top"/>
        <w:outlineLvl w:val="9"/>
        <w:rPr>
          <w:rFonts w:hint="eastAsia" w:ascii="仿宋" w:hAnsi="仿宋" w:eastAsia="仿宋" w:cs="仿宋"/>
          <w:sz w:val="28"/>
          <w:szCs w:val="28"/>
        </w:rPr>
      </w:pPr>
      <w:r>
        <w:rPr>
          <w:rFonts w:hint="eastAsia" w:ascii="仿宋" w:hAnsi="仿宋" w:eastAsia="仿宋" w:cs="仿宋"/>
          <w:sz w:val="28"/>
          <w:szCs w:val="28"/>
        </w:rPr>
        <w:t>日期：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default" w:ascii="仿宋" w:hAnsi="仿宋" w:eastAsia="仿宋" w:cs="仿宋"/>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p>
    <w:p>
      <w:pPr>
        <w:rPr>
          <w:rFonts w:hint="eastAsia"/>
          <w:b/>
          <w:bCs/>
          <w:sz w:val="30"/>
          <w:szCs w:val="30"/>
          <w:lang w:val="en-US" w:eastAsia="zh-CN"/>
        </w:rPr>
      </w:pPr>
      <w:r>
        <w:rPr>
          <w:rFonts w:hint="eastAsia"/>
          <w:b/>
          <w:bCs/>
          <w:sz w:val="30"/>
          <w:szCs w:val="30"/>
          <w:lang w:val="en-US" w:eastAsia="zh-CN"/>
        </w:rPr>
        <w:t>附件三：</w:t>
      </w:r>
    </w:p>
    <w:p>
      <w:pPr>
        <w:jc w:val="center"/>
        <w:rPr>
          <w:rFonts w:hint="eastAsia"/>
          <w:b/>
          <w:bCs/>
          <w:sz w:val="30"/>
          <w:szCs w:val="30"/>
          <w:lang w:val="en-US" w:eastAsia="zh-CN"/>
        </w:rPr>
      </w:pPr>
      <w:r>
        <w:rPr>
          <w:rFonts w:hint="eastAsia"/>
          <w:b/>
          <w:bCs/>
          <w:sz w:val="30"/>
          <w:szCs w:val="30"/>
          <w:lang w:val="en-US" w:eastAsia="zh-CN"/>
        </w:rPr>
        <w:t>资格证明材料承诺函</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sz w:val="24"/>
          <w:szCs w:val="24"/>
          <w:lang w:val="en-US" w:eastAsia="zh-CN"/>
        </w:rPr>
      </w:pPr>
      <w:r>
        <w:rPr>
          <w:rFonts w:hint="default"/>
          <w:b/>
          <w:bCs/>
          <w:sz w:val="24"/>
          <w:szCs w:val="24"/>
          <w:lang w:val="en-US" w:eastAsia="zh-CN"/>
        </w:rPr>
        <w:t>一、我方在此声明</w:t>
      </w:r>
      <w:r>
        <w:rPr>
          <w:rFonts w:hint="eastAsia"/>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一</w:t>
      </w:r>
      <w:r>
        <w:rPr>
          <w:rFonts w:hint="eastAsia"/>
          <w:sz w:val="24"/>
          <w:szCs w:val="24"/>
          <w:lang w:val="en-US" w:eastAsia="zh-CN"/>
        </w:rPr>
        <w:t>）</w:t>
      </w:r>
      <w:r>
        <w:rPr>
          <w:rFonts w:hint="default"/>
          <w:sz w:val="24"/>
          <w:szCs w:val="24"/>
          <w:lang w:val="en-US" w:eastAsia="zh-CN"/>
        </w:rPr>
        <w:t>我方与采购人或采购代理机构不存在隶属关系或者其他利害关系。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二</w:t>
      </w:r>
      <w:r>
        <w:rPr>
          <w:rFonts w:hint="eastAsia"/>
          <w:sz w:val="24"/>
          <w:szCs w:val="24"/>
          <w:lang w:val="en-US" w:eastAsia="zh-CN"/>
        </w:rPr>
        <w:t>）</w:t>
      </w:r>
      <w:r>
        <w:rPr>
          <w:rFonts w:hint="default"/>
          <w:sz w:val="24"/>
          <w:szCs w:val="24"/>
          <w:lang w:val="en-US" w:eastAsia="zh-CN"/>
        </w:rPr>
        <w:t>我方与参加本项目的其他供应商不存在控股、关联关系</w:t>
      </w:r>
      <w:r>
        <w:rPr>
          <w:rFonts w:hint="eastAsia"/>
          <w:sz w:val="24"/>
          <w:szCs w:val="24"/>
          <w:lang w:val="en-US" w:eastAsia="zh-CN"/>
        </w:rPr>
        <w:t>，</w:t>
      </w:r>
      <w:r>
        <w:rPr>
          <w:rFonts w:hint="default"/>
          <w:sz w:val="24"/>
          <w:szCs w:val="24"/>
          <w:lang w:val="en-US" w:eastAsia="zh-CN"/>
        </w:rPr>
        <w:t>或者与其他供应商法定代表人</w:t>
      </w:r>
      <w:r>
        <w:rPr>
          <w:rFonts w:hint="eastAsia"/>
          <w:sz w:val="24"/>
          <w:szCs w:val="24"/>
          <w:lang w:val="en-US" w:eastAsia="zh-CN"/>
        </w:rPr>
        <w:t>（</w:t>
      </w:r>
      <w:r>
        <w:rPr>
          <w:rFonts w:hint="default"/>
          <w:sz w:val="24"/>
          <w:szCs w:val="24"/>
          <w:lang w:val="en-US" w:eastAsia="zh-CN"/>
        </w:rPr>
        <w:t>或者负责人</w:t>
      </w:r>
      <w:r>
        <w:rPr>
          <w:rFonts w:hint="eastAsia"/>
          <w:sz w:val="24"/>
          <w:szCs w:val="24"/>
          <w:lang w:val="en-US" w:eastAsia="zh-CN"/>
        </w:rPr>
        <w:t>）</w:t>
      </w:r>
      <w:r>
        <w:rPr>
          <w:rFonts w:hint="default"/>
          <w:sz w:val="24"/>
          <w:szCs w:val="24"/>
          <w:lang w:val="en-US" w:eastAsia="zh-CN"/>
        </w:rPr>
        <w:t>为同一人。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三</w:t>
      </w:r>
      <w:r>
        <w:rPr>
          <w:rFonts w:hint="eastAsia"/>
          <w:sz w:val="24"/>
          <w:szCs w:val="24"/>
          <w:lang w:val="en-US" w:eastAsia="zh-CN"/>
        </w:rPr>
        <w:t>）</w:t>
      </w:r>
      <w:r>
        <w:rPr>
          <w:rFonts w:hint="default"/>
          <w:sz w:val="24"/>
          <w:szCs w:val="24"/>
          <w:lang w:val="en-US" w:eastAsia="zh-CN"/>
        </w:rPr>
        <w:t>我方未为本项目前期准备提供设计或咨询服务。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4"/>
          <w:szCs w:val="24"/>
          <w:lang w:val="en-US" w:eastAsia="zh-CN"/>
        </w:rPr>
      </w:pPr>
      <w:r>
        <w:rPr>
          <w:rFonts w:hint="default"/>
          <w:b/>
          <w:bCs/>
          <w:sz w:val="24"/>
          <w:szCs w:val="24"/>
          <w:lang w:val="en-US" w:eastAsia="zh-CN"/>
        </w:rPr>
        <w:t>二、我方承诺</w:t>
      </w:r>
      <w:r>
        <w:rPr>
          <w:rFonts w:hint="eastAsia"/>
          <w:sz w:val="24"/>
          <w:szCs w:val="24"/>
          <w:lang w:val="en-US" w:eastAsia="zh-CN"/>
        </w:rPr>
        <w:t>（</w:t>
      </w:r>
      <w:r>
        <w:rPr>
          <w:rFonts w:hint="default"/>
          <w:sz w:val="24"/>
          <w:szCs w:val="24"/>
          <w:lang w:val="en-US" w:eastAsia="zh-CN"/>
        </w:rPr>
        <w:t>承诺期</w:t>
      </w:r>
      <w:r>
        <w:rPr>
          <w:rFonts w:hint="eastAsia"/>
          <w:sz w:val="24"/>
          <w:szCs w:val="24"/>
          <w:lang w:val="en-US" w:eastAsia="zh-CN"/>
        </w:rPr>
        <w:t>：</w:t>
      </w:r>
      <w:r>
        <w:rPr>
          <w:rFonts w:hint="default"/>
          <w:sz w:val="24"/>
          <w:szCs w:val="24"/>
          <w:lang w:val="en-US" w:eastAsia="zh-CN"/>
        </w:rPr>
        <w:t>成立三年以上的</w:t>
      </w:r>
      <w:r>
        <w:rPr>
          <w:rFonts w:hint="eastAsia"/>
          <w:sz w:val="24"/>
          <w:szCs w:val="24"/>
          <w:lang w:val="en-US" w:eastAsia="zh-CN"/>
        </w:rPr>
        <w:t>，</w:t>
      </w:r>
      <w:r>
        <w:rPr>
          <w:rFonts w:hint="default"/>
          <w:sz w:val="24"/>
          <w:szCs w:val="24"/>
          <w:lang w:val="en-US" w:eastAsia="zh-CN"/>
        </w:rPr>
        <w:t>为提交首次响应文件截止时间前三年内</w:t>
      </w:r>
      <w:r>
        <w:rPr>
          <w:rFonts w:hint="eastAsia"/>
          <w:sz w:val="24"/>
          <w:szCs w:val="24"/>
          <w:lang w:val="en-US" w:eastAsia="zh-CN"/>
        </w:rPr>
        <w:t>；</w:t>
      </w:r>
      <w:r>
        <w:rPr>
          <w:rFonts w:hint="default"/>
          <w:sz w:val="24"/>
          <w:szCs w:val="24"/>
          <w:lang w:val="en-US" w:eastAsia="zh-CN"/>
        </w:rPr>
        <w:t>成立不足三年的</w:t>
      </w:r>
      <w:r>
        <w:rPr>
          <w:rFonts w:hint="eastAsia"/>
          <w:sz w:val="24"/>
          <w:szCs w:val="24"/>
          <w:lang w:val="en-US" w:eastAsia="zh-CN"/>
        </w:rPr>
        <w:t>，</w:t>
      </w:r>
      <w:r>
        <w:rPr>
          <w:rFonts w:hint="default"/>
          <w:sz w:val="24"/>
          <w:szCs w:val="24"/>
          <w:lang w:val="en-US" w:eastAsia="zh-CN"/>
        </w:rPr>
        <w:t>为实际时间</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一</w:t>
      </w:r>
      <w:r>
        <w:rPr>
          <w:rFonts w:hint="eastAsia"/>
          <w:sz w:val="24"/>
          <w:szCs w:val="24"/>
          <w:lang w:val="en-US" w:eastAsia="zh-CN"/>
        </w:rPr>
        <w:t>）</w:t>
      </w:r>
      <w:r>
        <w:rPr>
          <w:rFonts w:hint="default"/>
          <w:sz w:val="24"/>
          <w:szCs w:val="24"/>
          <w:lang w:val="en-US" w:eastAsia="zh-CN"/>
        </w:rPr>
        <w:t>我方依法缴纳了各项税费及各项社会保障资金</w:t>
      </w:r>
      <w:r>
        <w:rPr>
          <w:rFonts w:hint="eastAsia"/>
          <w:sz w:val="24"/>
          <w:szCs w:val="24"/>
          <w:lang w:val="en-US" w:eastAsia="zh-CN"/>
        </w:rPr>
        <w:t>，</w:t>
      </w:r>
      <w:r>
        <w:rPr>
          <w:rFonts w:hint="default"/>
          <w:sz w:val="24"/>
          <w:szCs w:val="24"/>
          <w:lang w:val="en-US" w:eastAsia="zh-CN"/>
        </w:rPr>
        <w:t>没有偷税、漏税及欠缴行为。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二</w:t>
      </w:r>
      <w:r>
        <w:rPr>
          <w:rFonts w:hint="eastAsia"/>
          <w:sz w:val="24"/>
          <w:szCs w:val="24"/>
          <w:lang w:val="en-US" w:eastAsia="zh-CN"/>
        </w:rPr>
        <w:t>）</w:t>
      </w:r>
      <w:r>
        <w:rPr>
          <w:rFonts w:hint="default"/>
          <w:sz w:val="24"/>
          <w:szCs w:val="24"/>
          <w:lang w:val="en-US" w:eastAsia="zh-CN"/>
        </w:rPr>
        <w:t>我方在经营活动中没有存在下列重大违法记录</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受到刑事处罚</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受到三万元以上的罚款、责令停产停业、在一至三年内禁止参加政府采购活动、暂扣或者吊销许、暂扣或者吊销执照的行政处罚。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我们</w:t>
      </w:r>
      <w:r>
        <w:rPr>
          <w:rFonts w:hint="default"/>
          <w:sz w:val="24"/>
          <w:szCs w:val="24"/>
          <w:lang w:val="en-US" w:eastAsia="zh-CN"/>
        </w:rPr>
        <w:t>已经认真核对和检查</w:t>
      </w:r>
      <w:r>
        <w:rPr>
          <w:rFonts w:hint="eastAsia"/>
          <w:sz w:val="24"/>
          <w:szCs w:val="24"/>
          <w:lang w:val="en-US" w:eastAsia="zh-CN"/>
        </w:rPr>
        <w:t>所提交的所有资料，</w:t>
      </w:r>
      <w:r>
        <w:rPr>
          <w:rFonts w:hint="default"/>
          <w:sz w:val="24"/>
          <w:szCs w:val="24"/>
          <w:lang w:val="en-US" w:eastAsia="zh-CN"/>
        </w:rPr>
        <w:t>全部内容真实、合法、准确和完整</w:t>
      </w:r>
      <w:r>
        <w:rPr>
          <w:rFonts w:hint="eastAsia"/>
          <w:sz w:val="24"/>
          <w:szCs w:val="24"/>
          <w:lang w:val="en-US" w:eastAsia="zh-CN"/>
        </w:rPr>
        <w:t>，</w:t>
      </w:r>
      <w:r>
        <w:rPr>
          <w:rFonts w:hint="default"/>
          <w:sz w:val="24"/>
          <w:szCs w:val="24"/>
          <w:lang w:val="en-US" w:eastAsia="zh-CN"/>
        </w:rPr>
        <w:t>我们对此负责</w:t>
      </w:r>
      <w:r>
        <w:rPr>
          <w:rFonts w:hint="eastAsia"/>
          <w:sz w:val="24"/>
          <w:szCs w:val="24"/>
          <w:lang w:val="en-US" w:eastAsia="zh-CN"/>
        </w:rPr>
        <w:t>，</w:t>
      </w:r>
      <w:r>
        <w:rPr>
          <w:rFonts w:hint="default"/>
          <w:sz w:val="24"/>
          <w:szCs w:val="24"/>
          <w:lang w:val="en-US" w:eastAsia="zh-CN"/>
        </w:rPr>
        <w:t>并愿承担由此引起的法律责任。</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default"/>
          <w:sz w:val="24"/>
          <w:szCs w:val="24"/>
          <w:lang w:val="en-US" w:eastAsia="zh-CN"/>
        </w:rPr>
      </w:pP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default"/>
          <w:sz w:val="24"/>
          <w:szCs w:val="24"/>
          <w:lang w:val="en-US" w:eastAsia="zh-CN"/>
        </w:rPr>
      </w:pPr>
      <w:r>
        <w:rPr>
          <w:rFonts w:hint="default"/>
          <w:sz w:val="24"/>
          <w:szCs w:val="24"/>
          <w:lang w:val="en-US" w:eastAsia="zh-CN"/>
        </w:rPr>
        <w:t>供应商名称</w:t>
      </w:r>
      <w:r>
        <w:rPr>
          <w:rFonts w:hint="eastAsia"/>
          <w:sz w:val="24"/>
          <w:szCs w:val="24"/>
          <w:lang w:val="en-US" w:eastAsia="zh-CN"/>
        </w:rPr>
        <w:t>（</w:t>
      </w:r>
      <w:r>
        <w:rPr>
          <w:rFonts w:hint="default"/>
          <w:sz w:val="24"/>
          <w:szCs w:val="24"/>
          <w:lang w:val="en-US" w:eastAsia="zh-CN"/>
        </w:rPr>
        <w:t>盖单位章</w:t>
      </w:r>
      <w:r>
        <w:rPr>
          <w:rFonts w:hint="eastAsia"/>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eastAsia"/>
          <w:sz w:val="24"/>
          <w:szCs w:val="24"/>
          <w:lang w:val="en-US" w:eastAsia="zh-CN"/>
        </w:rPr>
      </w:pPr>
      <w:r>
        <w:rPr>
          <w:rFonts w:hint="default"/>
          <w:sz w:val="24"/>
          <w:szCs w:val="24"/>
          <w:lang w:val="en-US" w:eastAsia="zh-CN"/>
        </w:rPr>
        <w:t>法定代表人</w:t>
      </w:r>
      <w:r>
        <w:rPr>
          <w:rFonts w:hint="eastAsia"/>
          <w:sz w:val="24"/>
          <w:szCs w:val="24"/>
          <w:lang w:val="en-US" w:eastAsia="zh-CN"/>
        </w:rPr>
        <w:t>（</w:t>
      </w:r>
      <w:r>
        <w:rPr>
          <w:rFonts w:hint="default"/>
          <w:sz w:val="24"/>
          <w:szCs w:val="24"/>
          <w:lang w:val="en-US" w:eastAsia="zh-CN"/>
        </w:rPr>
        <w:t>签名</w:t>
      </w:r>
      <w:r>
        <w:rPr>
          <w:rFonts w:hint="eastAsia"/>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default" w:ascii="仿宋" w:hAnsi="仿宋" w:eastAsia="仿宋" w:cs="仿宋"/>
          <w:color w:val="auto"/>
          <w:sz w:val="28"/>
          <w:szCs w:val="28"/>
          <w:lang w:val="en-US" w:eastAsia="zh-CN"/>
        </w:rPr>
      </w:pPr>
      <w:r>
        <w:rPr>
          <w:rFonts w:hint="eastAsia"/>
          <w:sz w:val="24"/>
          <w:szCs w:val="24"/>
          <w:lang w:val="en-US" w:eastAsia="zh-CN"/>
        </w:rPr>
        <w:t xml:space="preserve">日期：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A7C84"/>
    <w:rsid w:val="004C6B4F"/>
    <w:rsid w:val="04801206"/>
    <w:rsid w:val="04D6300A"/>
    <w:rsid w:val="056C1BF0"/>
    <w:rsid w:val="06365511"/>
    <w:rsid w:val="064154B9"/>
    <w:rsid w:val="0AFE2831"/>
    <w:rsid w:val="0B5B50DE"/>
    <w:rsid w:val="0E4A5C6C"/>
    <w:rsid w:val="11D1502A"/>
    <w:rsid w:val="127C1E80"/>
    <w:rsid w:val="1340660F"/>
    <w:rsid w:val="17234412"/>
    <w:rsid w:val="199C3EA3"/>
    <w:rsid w:val="1B9F47A0"/>
    <w:rsid w:val="1D0C78D9"/>
    <w:rsid w:val="1F9A6BBC"/>
    <w:rsid w:val="21155149"/>
    <w:rsid w:val="21C64029"/>
    <w:rsid w:val="239F4F18"/>
    <w:rsid w:val="29495804"/>
    <w:rsid w:val="2A876CA1"/>
    <w:rsid w:val="2BCC47A3"/>
    <w:rsid w:val="314B07D3"/>
    <w:rsid w:val="31BA7C84"/>
    <w:rsid w:val="31BF47DA"/>
    <w:rsid w:val="37200539"/>
    <w:rsid w:val="39106554"/>
    <w:rsid w:val="3B6C495E"/>
    <w:rsid w:val="3CAE091E"/>
    <w:rsid w:val="3F7C790D"/>
    <w:rsid w:val="438F72A2"/>
    <w:rsid w:val="43BF634B"/>
    <w:rsid w:val="479E7F76"/>
    <w:rsid w:val="51251D71"/>
    <w:rsid w:val="590D29CD"/>
    <w:rsid w:val="5D4B0296"/>
    <w:rsid w:val="5E79412C"/>
    <w:rsid w:val="61A738B8"/>
    <w:rsid w:val="62B6423F"/>
    <w:rsid w:val="6EA51F0D"/>
    <w:rsid w:val="6FAF6814"/>
    <w:rsid w:val="701C4B60"/>
    <w:rsid w:val="70533EFC"/>
    <w:rsid w:val="76A52A40"/>
    <w:rsid w:val="7920390F"/>
    <w:rsid w:val="7D8B1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3">
    <w:name w:val="Normal Indent"/>
    <w:basedOn w:val="1"/>
    <w:next w:val="1"/>
    <w:qFormat/>
    <w:uiPriority w:val="0"/>
    <w:pPr>
      <w:tabs>
        <w:tab w:val="left" w:pos="112"/>
      </w:tabs>
      <w:snapToGrid w:val="0"/>
      <w:spacing w:line="300" w:lineRule="auto"/>
      <w:ind w:firstLine="420"/>
      <w:jc w:val="left"/>
      <w:textAlignment w:val="top"/>
    </w:pPr>
    <w:rPr>
      <w:rFonts w:ascii="宋体"/>
      <w:sz w:val="28"/>
      <w:szCs w:val="20"/>
    </w:rPr>
  </w:style>
  <w:style w:type="paragraph" w:styleId="4">
    <w:name w:val="Body Text Indent"/>
    <w:basedOn w:val="1"/>
    <w:next w:val="5"/>
    <w:qFormat/>
    <w:uiPriority w:val="0"/>
    <w:pPr>
      <w:spacing w:after="120"/>
      <w:ind w:left="420" w:leftChars="200"/>
    </w:pPr>
  </w:style>
  <w:style w:type="paragraph" w:styleId="5">
    <w:name w:val="Body Text Indent 2"/>
    <w:basedOn w:val="1"/>
    <w:next w:val="1"/>
    <w:qFormat/>
    <w:uiPriority w:val="0"/>
    <w:pPr>
      <w:widowControl w:val="0"/>
      <w:adjustRightInd/>
      <w:snapToGrid/>
      <w:spacing w:after="120" w:line="480" w:lineRule="auto"/>
      <w:ind w:left="420" w:leftChars="200"/>
      <w:jc w:val="both"/>
    </w:pPr>
    <w:rPr>
      <w:rFonts w:ascii="Calibri" w:hAnsi="Calibri"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2026-03-13T02:23:00Z</dcterms:created>
  <dc:creator>Administrator</dc:creator>
  <cp:lastModifiedBy>HONOR</cp:lastModifiedBy>
  <dcterms:modified xsi:type="dcterms:W3CDTF">2026-04-16T11:24:12Z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F5C350FE6B4B403DB3FE88810141E517</vt:lpwstr>
  </property>
</Properties>
</file>