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b/>
          <w:bCs/>
        </w:rPr>
      </w:pPr>
      <w:r>
        <w:rPr>
          <w:rFonts w:hint="eastAsia" w:ascii="微软雅黑" w:hAnsi="微软雅黑" w:eastAsia="微软雅黑" w:cs="微软雅黑"/>
          <w:b/>
          <w:bCs/>
          <w:i w:val="0"/>
          <w:caps w:val="0"/>
          <w:color w:val="000000"/>
          <w:spacing w:val="0"/>
          <w:sz w:val="32"/>
          <w:szCs w:val="32"/>
          <w:shd w:val="clear" w:fill="FFFFFF"/>
          <w:vertAlign w:val="baseline"/>
          <w:lang w:val="en-US" w:eastAsia="zh-CN"/>
        </w:rPr>
        <w:t>会同县人民医院空气波</w:t>
      </w:r>
      <w:r>
        <w:rPr>
          <w:rFonts w:hint="eastAsia" w:ascii="微软雅黑" w:hAnsi="微软雅黑" w:eastAsia="微软雅黑" w:cs="微软雅黑"/>
          <w:b/>
          <w:bCs/>
          <w:i w:val="0"/>
          <w:caps w:val="0"/>
          <w:color w:val="000000"/>
          <w:spacing w:val="0"/>
          <w:sz w:val="32"/>
          <w:szCs w:val="32"/>
          <w:shd w:val="clear" w:fill="FFFFFF"/>
          <w:vertAlign w:val="baseline"/>
          <w:lang w:eastAsia="zh-CN"/>
        </w:rPr>
        <w:t>压</w:t>
      </w:r>
      <w:r>
        <w:rPr>
          <w:rFonts w:hint="eastAsia" w:ascii="微软雅黑" w:hAnsi="微软雅黑" w:eastAsia="微软雅黑" w:cs="微软雅黑"/>
          <w:b/>
          <w:bCs/>
          <w:i w:val="0"/>
          <w:caps w:val="0"/>
          <w:color w:val="000000"/>
          <w:spacing w:val="0"/>
          <w:sz w:val="32"/>
          <w:szCs w:val="32"/>
          <w:shd w:val="clear" w:fill="FFFFFF"/>
          <w:vertAlign w:val="baseline"/>
          <w:lang w:val="en-US" w:eastAsia="zh-CN"/>
        </w:rPr>
        <w:t>力</w:t>
      </w:r>
      <w:r>
        <w:rPr>
          <w:rFonts w:hint="eastAsia" w:ascii="微软雅黑" w:hAnsi="微软雅黑" w:eastAsia="微软雅黑" w:cs="微软雅黑"/>
          <w:b/>
          <w:bCs/>
          <w:i w:val="0"/>
          <w:caps w:val="0"/>
          <w:color w:val="000000"/>
          <w:spacing w:val="0"/>
          <w:sz w:val="32"/>
          <w:szCs w:val="32"/>
          <w:shd w:val="clear" w:fill="FFFFFF"/>
          <w:vertAlign w:val="baseline"/>
          <w:lang w:eastAsia="zh-CN"/>
        </w:rPr>
        <w:t>治疗仪</w:t>
      </w:r>
      <w:r>
        <w:rPr>
          <w:rFonts w:hint="eastAsia" w:ascii="微软雅黑" w:hAnsi="微软雅黑" w:eastAsia="微软雅黑" w:cs="微软雅黑"/>
          <w:b/>
          <w:bCs/>
          <w:i w:val="0"/>
          <w:caps w:val="0"/>
          <w:color w:val="000000"/>
          <w:spacing w:val="0"/>
          <w:sz w:val="32"/>
          <w:szCs w:val="32"/>
          <w:shd w:val="clear" w:fill="FFFFFF"/>
          <w:vertAlign w:val="baseline"/>
        </w:rPr>
        <w:t>院内公开采购公告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微软雅黑" w:hAnsi="微软雅黑" w:eastAsia="微软雅黑" w:cs="微软雅黑"/>
          <w:b w:val="0"/>
          <w:i w:val="0"/>
          <w:caps w:val="0"/>
          <w:color w:val="000000"/>
          <w:spacing w:val="0"/>
          <w:sz w:val="28"/>
          <w:szCs w:val="28"/>
          <w:shd w:val="clear" w:fill="FFFFFF"/>
          <w:vertAlign w:val="baseline"/>
        </w:rPr>
        <w:t>根</w:t>
      </w:r>
      <w:r>
        <w:rPr>
          <w:rFonts w:hint="eastAsia" w:ascii="仿宋" w:hAnsi="仿宋" w:eastAsia="仿宋" w:cs="仿宋"/>
          <w:b w:val="0"/>
          <w:i w:val="0"/>
          <w:caps w:val="0"/>
          <w:color w:val="000000"/>
          <w:spacing w:val="0"/>
          <w:sz w:val="30"/>
          <w:szCs w:val="30"/>
          <w:shd w:val="clear" w:fill="FFFFFF"/>
          <w:vertAlign w:val="baseline"/>
        </w:rPr>
        <w:t>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1、项目名称：</w:t>
      </w:r>
      <w:bookmarkStart w:id="0" w:name="OLE_LINK1"/>
      <w:r>
        <w:rPr>
          <w:rFonts w:hint="eastAsia" w:ascii="仿宋" w:hAnsi="仿宋" w:eastAsia="仿宋" w:cs="仿宋"/>
          <w:b w:val="0"/>
          <w:i w:val="0"/>
          <w:caps w:val="0"/>
          <w:color w:val="000000"/>
          <w:spacing w:val="0"/>
          <w:sz w:val="30"/>
          <w:szCs w:val="30"/>
          <w:shd w:val="clear" w:fill="FFFFFF"/>
          <w:vertAlign w:val="baseline"/>
          <w:lang w:val="en-US" w:eastAsia="zh-CN"/>
        </w:rPr>
        <w:t>空气波</w:t>
      </w:r>
      <w:r>
        <w:rPr>
          <w:rFonts w:hint="eastAsia" w:ascii="仿宋" w:hAnsi="仿宋" w:eastAsia="仿宋" w:cs="仿宋"/>
          <w:b w:val="0"/>
          <w:i w:val="0"/>
          <w:caps w:val="0"/>
          <w:color w:val="000000"/>
          <w:spacing w:val="0"/>
          <w:sz w:val="30"/>
          <w:szCs w:val="30"/>
          <w:shd w:val="clear" w:fill="FFFFFF"/>
          <w:vertAlign w:val="baseline"/>
          <w:lang w:eastAsia="zh-CN"/>
        </w:rPr>
        <w:t>压</w:t>
      </w:r>
      <w:r>
        <w:rPr>
          <w:rFonts w:hint="eastAsia" w:ascii="仿宋" w:hAnsi="仿宋" w:eastAsia="仿宋" w:cs="仿宋"/>
          <w:b w:val="0"/>
          <w:i w:val="0"/>
          <w:caps w:val="0"/>
          <w:color w:val="000000"/>
          <w:spacing w:val="0"/>
          <w:sz w:val="30"/>
          <w:szCs w:val="30"/>
          <w:shd w:val="clear" w:fill="FFFFFF"/>
          <w:vertAlign w:val="baseline"/>
          <w:lang w:val="en-US" w:eastAsia="zh-CN"/>
        </w:rPr>
        <w:t>力</w:t>
      </w:r>
      <w:r>
        <w:rPr>
          <w:rFonts w:hint="eastAsia" w:ascii="仿宋" w:hAnsi="仿宋" w:eastAsia="仿宋" w:cs="仿宋"/>
          <w:b w:val="0"/>
          <w:i w:val="0"/>
          <w:caps w:val="0"/>
          <w:color w:val="000000"/>
          <w:spacing w:val="0"/>
          <w:sz w:val="30"/>
          <w:szCs w:val="30"/>
          <w:shd w:val="clear" w:fill="FFFFFF"/>
          <w:vertAlign w:val="baseline"/>
          <w:lang w:eastAsia="zh-CN"/>
        </w:rPr>
        <w:t>治疗仪</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2、项目编号：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p>
    <w:tbl>
      <w:tblPr>
        <w:tblStyle w:val="7"/>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87"/>
        <w:gridCol w:w="218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2817"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18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数量（台）</w:t>
            </w:r>
          </w:p>
        </w:tc>
        <w:tc>
          <w:tcPr>
            <w:tcW w:w="2182"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300" w:firstLineChars="10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300" w:firstLineChars="10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17" w:type="dxa"/>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lang w:val="en-US" w:eastAsia="zh-CN"/>
              </w:rPr>
              <w:t>空气波</w:t>
            </w:r>
            <w:r>
              <w:rPr>
                <w:rFonts w:hint="eastAsia" w:ascii="仿宋" w:hAnsi="仿宋" w:eastAsia="仿宋" w:cs="仿宋"/>
                <w:b w:val="0"/>
                <w:i w:val="0"/>
                <w:caps w:val="0"/>
                <w:color w:val="000000"/>
                <w:spacing w:val="0"/>
                <w:sz w:val="30"/>
                <w:szCs w:val="30"/>
                <w:shd w:val="clear" w:fill="FFFFFF"/>
                <w:vertAlign w:val="baseline"/>
                <w:lang w:eastAsia="zh-CN"/>
              </w:rPr>
              <w:t>压</w:t>
            </w:r>
            <w:r>
              <w:rPr>
                <w:rFonts w:hint="eastAsia" w:ascii="仿宋" w:hAnsi="仿宋" w:eastAsia="仿宋" w:cs="仿宋"/>
                <w:b w:val="0"/>
                <w:i w:val="0"/>
                <w:caps w:val="0"/>
                <w:color w:val="000000"/>
                <w:spacing w:val="0"/>
                <w:sz w:val="30"/>
                <w:szCs w:val="30"/>
                <w:shd w:val="clear" w:fill="FFFFFF"/>
                <w:vertAlign w:val="baseline"/>
                <w:lang w:val="en-US" w:eastAsia="zh-CN"/>
              </w:rPr>
              <w:t>力</w:t>
            </w:r>
            <w:r>
              <w:rPr>
                <w:rFonts w:hint="eastAsia" w:ascii="仿宋" w:hAnsi="仿宋" w:eastAsia="仿宋" w:cs="仿宋"/>
                <w:b w:val="0"/>
                <w:i w:val="0"/>
                <w:caps w:val="0"/>
                <w:color w:val="000000"/>
                <w:spacing w:val="0"/>
                <w:sz w:val="30"/>
                <w:szCs w:val="30"/>
                <w:shd w:val="clear" w:fill="FFFFFF"/>
                <w:vertAlign w:val="baseline"/>
                <w:lang w:eastAsia="zh-CN"/>
              </w:rPr>
              <w:t>治疗仪</w:t>
            </w:r>
          </w:p>
        </w:tc>
        <w:tc>
          <w:tcPr>
            <w:tcW w:w="118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9</w:t>
            </w:r>
          </w:p>
        </w:tc>
        <w:tc>
          <w:tcPr>
            <w:tcW w:w="2182"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27</w:t>
            </w:r>
          </w:p>
        </w:tc>
        <w:tc>
          <w:tcPr>
            <w:tcW w:w="165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6" w:type="dxa"/>
            <w:gridSpan w:val="4"/>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bookmarkStart w:id="4" w:name="_GoBack"/>
      <w:bookmarkEnd w:id="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(6)本项目为无押金投标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(5)技术、商务参数响应/偏离表(供应商未写入投标文件响应偏离表的技术、商务参数条款均视作偏离，供应商自行承担一切责任)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进口产品提供总代理商的营业执照、《医疗器械经营企业许可证》或二类医疗器械备案凭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④法定代表人身份证明书或法人授权委托书、授权代表的身份证复印件加盖单位公章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投标文件要求一正二副，标书必须“A4规格纸张胶制(非打孔或夹装)装订成册，并编制总目录”,要求密封；投标报价单独密封；否则视为符合性审查不合格，作无效投标处理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提供相同品牌产品的不同投标人参加同一合同项下投标的，按一家投标人计算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30"/>
          <w:szCs w:val="30"/>
          <w:shd w:val="clear" w:fill="FFFFFF"/>
          <w:vertAlign w:val="baseline"/>
          <w:lang w:val="en-US" w:eastAsia="zh-CN"/>
        </w:rPr>
        <w:t>,</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13</w:t>
      </w:r>
      <w:r>
        <w:rPr>
          <w:rFonts w:hint="eastAsia" w:ascii="仿宋" w:hAnsi="仿宋" w:eastAsia="仿宋" w:cs="仿宋"/>
          <w:b w:val="0"/>
          <w:i w:val="0"/>
          <w:caps w:val="0"/>
          <w:color w:val="666666"/>
          <w:spacing w:val="0"/>
          <w:sz w:val="30"/>
          <w:szCs w:val="30"/>
          <w:shd w:val="clear" w:fill="FFFFFF"/>
          <w:vertAlign w:val="baseline"/>
        </w:rPr>
        <w:t>日至2025年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15</w:t>
      </w:r>
      <w:r>
        <w:rPr>
          <w:rFonts w:hint="eastAsia" w:ascii="仿宋" w:hAnsi="仿宋" w:eastAsia="仿宋" w:cs="仿宋"/>
          <w:b w:val="0"/>
          <w:i w:val="0"/>
          <w:caps w:val="0"/>
          <w:color w:val="666666"/>
          <w:spacing w:val="0"/>
          <w:sz w:val="30"/>
          <w:szCs w:val="30"/>
          <w:shd w:val="clear" w:fill="FFFFFF"/>
          <w:vertAlign w:val="baseline"/>
        </w:rPr>
        <w:t>日</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16</w:t>
      </w:r>
      <w:r>
        <w:rPr>
          <w:rFonts w:hint="eastAsia" w:ascii="仿宋" w:hAnsi="仿宋" w:eastAsia="仿宋" w:cs="仿宋"/>
          <w:b w:val="0"/>
          <w:i w:val="0"/>
          <w:caps w:val="0"/>
          <w:color w:val="666666"/>
          <w:spacing w:val="0"/>
          <w:sz w:val="30"/>
          <w:szCs w:val="30"/>
          <w:shd w:val="clear" w:fill="FFFFFF"/>
          <w:vertAlign w:val="baseline"/>
        </w:rPr>
        <w:t>日</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会同县人民医院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13 </w:t>
      </w:r>
      <w:r>
        <w:rPr>
          <w:rFonts w:hint="eastAsia" w:ascii="仿宋" w:hAnsi="仿宋" w:eastAsia="仿宋" w:cs="仿宋"/>
          <w:b w:val="0"/>
          <w:i w:val="0"/>
          <w:caps w:val="0"/>
          <w:color w:val="666666"/>
          <w:spacing w:val="0"/>
          <w:sz w:val="30"/>
          <w:szCs w:val="30"/>
          <w:shd w:val="clear" w:fill="FFFFFF"/>
          <w:vertAlign w:val="baseline"/>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b w:val="0"/>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6"/>
        <w:tblW w:w="8966" w:type="dxa"/>
        <w:jc w:val="center"/>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860"/>
        <w:gridCol w:w="520"/>
        <w:gridCol w:w="6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1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5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673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3、注“</w:t>
            </w:r>
            <w:bookmarkStart w:id="1" w:name="OLE_LINK2"/>
            <w:r>
              <w:rPr>
                <w:rFonts w:hint="eastAsia" w:ascii="仿宋" w:hAnsi="仿宋" w:eastAsia="仿宋" w:cs="仿宋"/>
                <w:b/>
                <w:sz w:val="30"/>
                <w:szCs w:val="30"/>
                <w:vertAlign w:val="baseline"/>
              </w:rPr>
              <w:t>▲</w:t>
            </w:r>
            <w:bookmarkEnd w:id="1"/>
            <w:r>
              <w:rPr>
                <w:rFonts w:hint="eastAsia" w:ascii="仿宋" w:hAnsi="仿宋" w:eastAsia="仿宋" w:cs="仿宋"/>
                <w:b w:val="0"/>
                <w:sz w:val="30"/>
                <w:szCs w:val="30"/>
                <w:vertAlign w:val="baseline"/>
              </w:rPr>
              <w:t>”技术参数及商务条款为重要参数，每偏离一项扣5分。一般参数每偏离一项扣3分。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》》》》》》》》》》》》》》》》》ΔΔΔΔ</w:t>
            </w:r>
          </w:p>
        </w:tc>
        <w:tc>
          <w:tcPr>
            <w:tcW w:w="86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52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673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一、技术要求：</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预期用途：</w:t>
      </w:r>
      <w:r>
        <w:rPr>
          <w:rFonts w:hint="eastAsia" w:ascii="仿宋" w:hAnsi="仿宋" w:eastAsia="仿宋" w:cs="仿宋"/>
          <w:i w:val="0"/>
          <w:caps w:val="0"/>
          <w:spacing w:val="0"/>
          <w:kern w:val="2"/>
          <w:sz w:val="30"/>
          <w:szCs w:val="30"/>
          <w:lang w:val="en-US" w:eastAsia="zh-CN" w:bidi="ar"/>
        </w:rPr>
        <w:t>适用于脑血管意外、脑外伤、脑手术后、脊髓病变引起的肢体功能障碍和外周非栓塞性脉管炎的辅助治疗，以及预防静脉血栓形成，减轻肢体水肿（可提供注册证）</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压力范围：1-26kPa或8-195mmHg连续可调，调节精度1kPa</w:t>
      </w:r>
    </w:p>
    <w:p>
      <w:pPr>
        <w:keepNext w:val="0"/>
        <w:keepLines w:val="0"/>
        <w:pageBreakBefore w:val="0"/>
        <w:widowControl w:val="0"/>
        <w:numPr>
          <w:ilvl w:val="0"/>
          <w:numId w:val="2"/>
        </w:numPr>
        <w:suppressLineNumbers w:val="0"/>
        <w:kinsoku/>
        <w:wordWrap/>
        <w:overflowPunct/>
        <w:topLinePunct w:val="0"/>
        <w:autoSpaceDN/>
        <w:bidi w:val="0"/>
        <w:adjustRightInd/>
        <w:snapToGrid/>
        <w:spacing w:before="0" w:beforeAutospacing="0" w:after="0" w:afterAutospacing="0" w:line="360" w:lineRule="auto"/>
        <w:ind w:left="840" w:right="0" w:rightChars="0" w:hanging="640"/>
        <w:jc w:val="both"/>
        <w:outlineLvl w:val="9"/>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bidi="ar"/>
        </w:rPr>
        <w:t>气泵流量≥17L/min</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▲压力显示单位：可选择kPa与mmHg两种压力显示单位</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时间范围：5-99min，连续可调</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充气速度：14秒/腔</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bookmarkStart w:id="2" w:name="OLE_LINK5"/>
      <w:r>
        <w:rPr>
          <w:rFonts w:hint="eastAsia" w:ascii="仿宋" w:hAnsi="仿宋" w:eastAsia="仿宋" w:cs="仿宋"/>
          <w:kern w:val="2"/>
          <w:sz w:val="30"/>
          <w:szCs w:val="30"/>
          <w:lang w:val="en-US" w:eastAsia="zh-CN" w:bidi="ar"/>
        </w:rPr>
        <w:t>▲</w:t>
      </w:r>
      <w:bookmarkEnd w:id="2"/>
      <w:r>
        <w:rPr>
          <w:rFonts w:hint="eastAsia" w:ascii="仿宋" w:hAnsi="仿宋" w:eastAsia="仿宋" w:cs="仿宋"/>
          <w:kern w:val="2"/>
          <w:sz w:val="30"/>
          <w:szCs w:val="30"/>
          <w:lang w:val="en-US" w:eastAsia="zh-CN" w:bidi="ar"/>
        </w:rPr>
        <w:drawing>
          <wp:inline distT="0" distB="0" distL="114300" distR="114300">
            <wp:extent cx="314325" cy="31432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314325" cy="314325"/>
                    </a:xfrm>
                    <a:prstGeom prst="rect">
                      <a:avLst/>
                    </a:prstGeom>
                    <a:noFill/>
                    <a:ln w="9525">
                      <a:noFill/>
                    </a:ln>
                  </pic:spPr>
                </pic:pic>
              </a:graphicData>
            </a:graphic>
          </wp:inline>
        </w:drawing>
      </w:r>
      <w:r>
        <w:rPr>
          <w:rFonts w:hint="eastAsia" w:ascii="仿宋" w:hAnsi="仿宋" w:eastAsia="仿宋" w:cs="仿宋"/>
          <w:kern w:val="2"/>
          <w:sz w:val="30"/>
          <w:szCs w:val="30"/>
          <w:lang w:val="en-US" w:eastAsia="zh-CN" w:bidi="ar"/>
        </w:rPr>
        <w:t>输出控制方式：通过一分二充气导管，至多可同时连接2个6腔充气气囊，并可同时按顺序充、放气</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bookmarkStart w:id="3" w:name="OLE_LINK3"/>
      <w:r>
        <w:rPr>
          <w:rFonts w:hint="eastAsia" w:ascii="仿宋" w:hAnsi="仿宋" w:eastAsia="仿宋" w:cs="仿宋"/>
          <w:kern w:val="2"/>
          <w:sz w:val="30"/>
          <w:szCs w:val="30"/>
          <w:lang w:val="en-US" w:eastAsia="zh-CN" w:bidi="ar"/>
        </w:rPr>
        <w:t>▲最大充气腔数：至多可同时充气12腔气囊</w:t>
      </w:r>
      <w:bookmarkEnd w:id="3"/>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人机交互界面：组合式按键操作，高亮LED数码显示，运行时支持治疗模式、治疗压力、剩余时间等同屏显示，简单耐用，无视觉死角</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治疗模式：内置10种治疗模式，1种标准模式（静脉模式）+9种扩展模式（动脉模式、持续压力模式、按摩模式），满足患者预防血栓、促进血液循环、部位消肿和按摩等不同的治疗需求</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独立泄压功能：压力达到阈值、突然断电或中断治疗时，泄压装置自动泄压，避免对患者产生意外伤害</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智能记忆功能：对治疗过程中调节的参数，仪器可自动记忆该参数，在每次开机使用中自动使用该参数</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气囊结构：</w:t>
      </w:r>
      <w:r>
        <w:rPr>
          <w:rFonts w:hint="eastAsia" w:ascii="仿宋" w:hAnsi="仿宋" w:eastAsia="仿宋" w:cs="仿宋"/>
          <w:color w:val="000000"/>
          <w:kern w:val="2"/>
          <w:sz w:val="30"/>
          <w:szCs w:val="30"/>
          <w:lang w:val="en-US" w:eastAsia="zh-CN" w:bidi="ar"/>
        </w:rPr>
        <w:t>重复性气囊采用层叠式拉链套筒设计，实现无压力死角，保证静脉血单向回流</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气囊种类支持：下肢六腔气囊（拉链套筒式）、下肢四腔气囊（含足部）、小腿四腔气囊（含足部）、下肢三腔气囊、小腿三腔气囊、上肢六腔气囊（拉链套筒式），</w:t>
      </w:r>
      <w:r>
        <w:rPr>
          <w:rFonts w:hint="eastAsia" w:ascii="仿宋" w:hAnsi="仿宋" w:eastAsia="仿宋" w:cs="仿宋"/>
          <w:b w:val="0"/>
          <w:kern w:val="2"/>
          <w:sz w:val="30"/>
          <w:szCs w:val="30"/>
          <w:lang w:val="en-US" w:eastAsia="zh-CN" w:bidi="ar"/>
        </w:rPr>
        <w:t>可应用于多种临床使用场景</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噪音控制：最大运行噪音≤60dB（A）</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使用期限：≧10年</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具有气囊及管路漏气检测功能</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具有压力传感器精密控制硬件的故障代码提示报警功能，方便高压、漏气等故障排查</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sz w:val="30"/>
          <w:szCs w:val="30"/>
        </w:rPr>
      </w:pPr>
      <w:r>
        <w:rPr>
          <w:rFonts w:hint="eastAsia" w:ascii="仿宋" w:hAnsi="仿宋" w:eastAsia="仿宋" w:cs="仿宋"/>
          <w:kern w:val="2"/>
          <w:sz w:val="30"/>
          <w:szCs w:val="30"/>
          <w:lang w:val="en-US" w:eastAsia="zh-CN" w:bidi="ar"/>
        </w:rPr>
        <w:t>选配推车，便于移动治疗</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left="840" w:leftChars="0" w:right="0" w:rightChars="0" w:hanging="640" w:firstLineChars="0"/>
        <w:jc w:val="both"/>
        <w:outlineLvl w:val="9"/>
        <w:rPr>
          <w:rFonts w:hint="eastAsia" w:ascii="仿宋" w:hAnsi="仿宋" w:eastAsia="仿宋" w:cs="仿宋"/>
          <w:sz w:val="30"/>
          <w:szCs w:val="30"/>
        </w:rPr>
      </w:pPr>
      <w:r>
        <w:rPr>
          <w:rFonts w:hint="eastAsia" w:ascii="仿宋" w:hAnsi="仿宋" w:eastAsia="仿宋" w:cs="仿宋"/>
          <w:sz w:val="30"/>
          <w:szCs w:val="30"/>
          <w:lang w:val="en-US" w:eastAsia="zh-CN"/>
        </w:rPr>
        <w:t>生产出厂日期为近三个月内全新产品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二.商务要求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1.设备生产厂家或投标供应商承诺设备免费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w:t>
      </w:r>
      <w:r>
        <w:rPr>
          <w:rFonts w:hint="eastAsia" w:ascii="仿宋" w:hAnsi="仿宋" w:eastAsia="仿宋" w:cs="仿宋"/>
          <w:b/>
          <w:i w:val="0"/>
          <w:caps w:val="0"/>
          <w:color w:val="666666"/>
          <w:spacing w:val="0"/>
          <w:sz w:val="30"/>
          <w:szCs w:val="30"/>
          <w:shd w:val="clear" w:fill="FFFFFF"/>
          <w:vertAlign w:val="baseline"/>
          <w:lang w:val="en-US" w:eastAsia="zh-CN"/>
        </w:rPr>
        <w:t>1</w:t>
      </w:r>
      <w:r>
        <w:rPr>
          <w:rFonts w:hint="eastAsia" w:ascii="仿宋" w:hAnsi="仿宋" w:eastAsia="仿宋" w:cs="仿宋"/>
          <w:b/>
          <w:i w:val="0"/>
          <w:caps w:val="0"/>
          <w:color w:val="666666"/>
          <w:spacing w:val="0"/>
          <w:sz w:val="30"/>
          <w:szCs w:val="30"/>
          <w:shd w:val="clear" w:fill="FFFFFF"/>
          <w:vertAlign w:val="baseline"/>
        </w:rPr>
        <w:t>年</w:t>
      </w:r>
      <w:r>
        <w:rPr>
          <w:rFonts w:hint="eastAsia" w:ascii="仿宋" w:hAnsi="仿宋" w:eastAsia="仿宋" w:cs="仿宋"/>
          <w:i w:val="0"/>
          <w:caps w:val="0"/>
          <w:color w:val="666666"/>
          <w:spacing w:val="0"/>
          <w:sz w:val="30"/>
          <w:szCs w:val="30"/>
          <w:shd w:val="clear" w:fill="FFFFFF"/>
          <w:vertAlign w:val="baseline"/>
        </w:rPr>
        <w:t>(设备验收合格后开始计算)，</w:t>
      </w:r>
      <w:r>
        <w:rPr>
          <w:rFonts w:hint="eastAsia" w:ascii="仿宋" w:hAnsi="仿宋" w:eastAsia="仿宋" w:cs="仿宋"/>
          <w:b w:val="0"/>
          <w:i w:val="0"/>
          <w:caps w:val="0"/>
          <w:color w:val="000000"/>
          <w:spacing w:val="0"/>
          <w:sz w:val="30"/>
          <w:szCs w:val="30"/>
          <w:shd w:val="clear" w:fill="FFFFFF"/>
          <w:vertAlign w:val="baseline"/>
        </w:rPr>
        <w:t>终身维护。</w:t>
      </w:r>
      <w:r>
        <w:rPr>
          <w:rFonts w:hint="eastAsia" w:ascii="仿宋" w:hAnsi="仿宋" w:eastAsia="仿宋" w:cs="仿宋"/>
          <w:i w:val="0"/>
          <w:caps w:val="0"/>
          <w:color w:val="666666"/>
          <w:spacing w:val="0"/>
          <w:sz w:val="30"/>
          <w:szCs w:val="30"/>
          <w:shd w:val="clear" w:fill="FFFFFF"/>
          <w:vertAlign w:val="baseline"/>
        </w:rPr>
        <w:t>在质量保证期内进行售后服务不收取任何费用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2.提供质保期后的服务承诺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i w:val="0"/>
          <w:caps w:val="0"/>
          <w:color w:val="666666"/>
          <w:spacing w:val="0"/>
          <w:sz w:val="30"/>
          <w:szCs w:val="30"/>
          <w:shd w:val="clear" w:fill="FFFFFF"/>
          <w:vertAlign w:val="baseline"/>
          <w:lang w:val="en-US" w:eastAsia="zh-CN"/>
        </w:rPr>
      </w:pPr>
      <w:r>
        <w:rPr>
          <w:rFonts w:hint="eastAsia" w:ascii="仿宋" w:hAnsi="仿宋" w:eastAsia="仿宋" w:cs="仿宋"/>
          <w:i w:val="0"/>
          <w:caps w:val="0"/>
          <w:color w:val="666666"/>
          <w:spacing w:val="0"/>
          <w:sz w:val="30"/>
          <w:szCs w:val="30"/>
          <w:shd w:val="clear" w:fill="FFFFFF"/>
          <w:vertAlign w:val="baseline"/>
        </w:rPr>
        <w:t>3.提供常用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30"/>
          <w:szCs w:val="30"/>
          <w:shd w:val="clear" w:fill="FFFFFF"/>
          <w:vertAlign w:val="baseli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i w:val="0"/>
          <w:caps w:val="0"/>
          <w:color w:val="666666"/>
          <w:spacing w:val="0"/>
          <w:sz w:val="30"/>
          <w:szCs w:val="30"/>
          <w:shd w:val="clear" w:fill="FFFFFF"/>
          <w:vertAlign w:val="baseli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 w:hAnsi="仿宋" w:eastAsia="仿宋" w:cs="仿宋"/>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b/>
          <w:i w:val="0"/>
          <w:caps w:val="0"/>
          <w:color w:val="666666"/>
          <w:spacing w:val="0"/>
          <w:sz w:val="30"/>
          <w:szCs w:val="3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资格证明材料承诺函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一、我方在此声明：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（一）我方与采购人或采购代理机构不存在隶属关系或者其他利害关系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（二）我方与参加本项目的其他供应商不存在控股、关联关系，或者与其他供应商法定代表人（或者负责人）为同一人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（三）我方未为本项目前期准备提供设计或咨询服务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二、我方承诺</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rPr>
        <w:t>（承诺期：成立三年以上的，为提交首次响应文件截止时间前三年内；成立不足三年的，为实际时间）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（一）我方依法缴纳了各项税费及各项社会保障资金，没有偷税、漏税及欠缴行为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（二）我方在经营活动中没有存在下列重大违法记录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1、受到刑事处罚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2、受到三万元以上的罚款、责令停产停业、在一至三年内禁止参加政府采购活动、暂扣或者吊销许、暂扣或者吊销执照的行政处罚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我们已经认真核对和检查所提交的所有资料，全部内容真实、合法、准确和完整，我们对此负责，并愿承担由此引起的法律责任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供应商名称（盖单位章）：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法定代表人（签名）：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outlineLvl w:val="9"/>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日期：   年    月    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2AA591"/>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baseline"/>
        <w:outlineLvl w:val="9"/>
        <w:rPr>
          <w:rFonts w:hint="eastAsia" w:ascii="微软雅黑" w:hAnsi="微软雅黑" w:eastAsia="微软雅黑" w:cs="微软雅黑"/>
          <w:i w:val="0"/>
          <w:caps w:val="0"/>
          <w:color w:val="0000FF"/>
          <w:spacing w:val="0"/>
          <w:sz w:val="18"/>
          <w:szCs w:val="18"/>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2977C"/>
    <w:multiLevelType w:val="singleLevel"/>
    <w:tmpl w:val="6822977C"/>
    <w:lvl w:ilvl="0" w:tentative="0">
      <w:start w:val="7"/>
      <w:numFmt w:val="chineseCounting"/>
      <w:suff w:val="nothing"/>
      <w:lvlText w:val="%1、"/>
      <w:lvlJc w:val="left"/>
    </w:lvl>
  </w:abstractNum>
  <w:abstractNum w:abstractNumId="1">
    <w:nsid w:val="6822B3FD"/>
    <w:multiLevelType w:val="multilevel"/>
    <w:tmpl w:val="6822B3FD"/>
    <w:lvl w:ilvl="0" w:tentative="0">
      <w:start w:val="1"/>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1806D71"/>
    <w:rsid w:val="05446B20"/>
    <w:rsid w:val="07E06713"/>
    <w:rsid w:val="0BA6129D"/>
    <w:rsid w:val="0D962992"/>
    <w:rsid w:val="0E35475C"/>
    <w:rsid w:val="11225E74"/>
    <w:rsid w:val="14CB73EB"/>
    <w:rsid w:val="16E71BBB"/>
    <w:rsid w:val="1C813936"/>
    <w:rsid w:val="1CB13238"/>
    <w:rsid w:val="1EA76E13"/>
    <w:rsid w:val="240C3A6C"/>
    <w:rsid w:val="24820183"/>
    <w:rsid w:val="25F32671"/>
    <w:rsid w:val="262A165F"/>
    <w:rsid w:val="27E63D41"/>
    <w:rsid w:val="29932A6B"/>
    <w:rsid w:val="29A425E4"/>
    <w:rsid w:val="2A9F292A"/>
    <w:rsid w:val="2E752A55"/>
    <w:rsid w:val="332F1979"/>
    <w:rsid w:val="39753587"/>
    <w:rsid w:val="3B5E4629"/>
    <w:rsid w:val="3F957926"/>
    <w:rsid w:val="43D27474"/>
    <w:rsid w:val="45BA624B"/>
    <w:rsid w:val="45F62FEC"/>
    <w:rsid w:val="47E54ABB"/>
    <w:rsid w:val="497F63BC"/>
    <w:rsid w:val="4CB95BF0"/>
    <w:rsid w:val="4CD62880"/>
    <w:rsid w:val="53B40F7A"/>
    <w:rsid w:val="5D5C4C4D"/>
    <w:rsid w:val="61BF7648"/>
    <w:rsid w:val="63B8675F"/>
    <w:rsid w:val="6AC72E82"/>
    <w:rsid w:val="6B571FB6"/>
    <w:rsid w:val="72FB677B"/>
    <w:rsid w:val="74E10D45"/>
    <w:rsid w:val="7BFD15BD"/>
    <w:rsid w:val="7C266C6E"/>
    <w:rsid w:val="7E2F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2025-05-07T07:42:00Z</cp:lastPrinted>
  <dcterms:modified xsi:type="dcterms:W3CDTF">2025-05-13T08:09:07Z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