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beforeAutospacing="0" w:afterAutospacing="0" w:line="360" w:lineRule="auto"/>
        <w:textAlignment w:val="baseline"/>
        <w:rPr>
          <w:rFonts w:hint="eastAsia" w:ascii="仿宋" w:hAnsi="仿宋" w:eastAsia="仿宋" w:cs="仿宋"/>
          <w:b/>
          <w:bCs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666666"/>
          <w:sz w:val="30"/>
          <w:szCs w:val="30"/>
          <w:shd w:val="clear" w:color="auto" w:fill="FFFFFF"/>
        </w:rPr>
        <w:t>附件一：</w:t>
      </w:r>
    </w:p>
    <w:p>
      <w:pPr>
        <w:pStyle w:val="11"/>
        <w:spacing w:beforeAutospacing="0" w:afterAutospacing="0" w:line="360" w:lineRule="auto"/>
        <w:ind w:firstLine="2259" w:firstLineChars="750"/>
        <w:textAlignment w:val="baseline"/>
        <w:rPr>
          <w:rFonts w:hint="eastAsia" w:ascii="仿宋" w:hAnsi="仿宋" w:eastAsia="仿宋" w:cs="仿宋"/>
          <w:b/>
          <w:bCs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666666"/>
          <w:sz w:val="30"/>
          <w:szCs w:val="30"/>
          <w:shd w:val="clear" w:color="auto" w:fill="FFFFFF"/>
        </w:rPr>
        <w:t>三级等保测评采购需求</w:t>
      </w:r>
    </w:p>
    <w:p>
      <w:pPr>
        <w:pStyle w:val="11"/>
        <w:spacing w:beforeAutospacing="0" w:afterAutospacing="0" w:line="360" w:lineRule="auto"/>
        <w:ind w:firstLine="151" w:firstLineChars="50"/>
        <w:textAlignment w:val="baseline"/>
        <w:rPr>
          <w:rFonts w:hint="eastAsia" w:ascii="仿宋" w:hAnsi="仿宋" w:eastAsia="仿宋" w:cs="仿宋"/>
          <w:b/>
          <w:bCs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666666"/>
          <w:sz w:val="30"/>
          <w:szCs w:val="30"/>
          <w:shd w:val="clear" w:color="auto" w:fill="FFFFFF"/>
        </w:rPr>
        <w:t>一、总体要求：</w:t>
      </w:r>
    </w:p>
    <w:p>
      <w:pPr>
        <w:pStyle w:val="11"/>
        <w:spacing w:beforeAutospacing="0" w:afterAutospacing="0" w:line="360" w:lineRule="auto"/>
        <w:ind w:firstLine="150" w:firstLineChars="50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  <w:t>1、为落实《中华人民共和国网络安全法》《信息安全等级保护管理办法》（公通字〔2007〕43号）等法律法规，及《信息安全技术 网络安全等级保护测评要求》（GB/T 28448-2019）、《信息安全技术 网络安全等级保护基本要求》（GB/T22239-2019）等国家标准，拟对我院医院信息管理平台（等级保护第三级）、PACS系统（等级保护第三级）开展网络安全等级保护测评。通过专业测评明确系统安全防护差距，保障医疗信息系统安全稳定运行，符合国家等保合规要求。</w:t>
      </w:r>
    </w:p>
    <w:p>
      <w:pPr>
        <w:pStyle w:val="11"/>
        <w:spacing w:beforeAutospacing="0" w:afterAutospacing="0" w:line="360" w:lineRule="auto"/>
        <w:ind w:firstLine="150" w:firstLineChars="50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  <w:t>2、 竞价期间须到采购人指定地点完成现场踏勘，具体要求：</w:t>
      </w:r>
    </w:p>
    <w:p>
      <w:pPr>
        <w:pStyle w:val="11"/>
        <w:spacing w:beforeAutospacing="0" w:afterAutospacing="0" w:line="360" w:lineRule="auto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  <w:t>（1）踏勘地址：会同县人民医院信息科；</w:t>
      </w:r>
    </w:p>
    <w:p>
      <w:pPr>
        <w:pStyle w:val="11"/>
        <w:spacing w:beforeAutospacing="0" w:afterAutospacing="0" w:line="360" w:lineRule="auto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  <w:t>（2）</w:t>
      </w:r>
      <w:r>
        <w:rPr>
          <w:rFonts w:hint="eastAsia" w:ascii="仿宋" w:hAnsi="仿宋" w:eastAsia="仿宋" w:cs="仿宋"/>
          <w:color w:val="auto"/>
          <w:sz w:val="30"/>
          <w:szCs w:val="30"/>
          <w:shd w:val="clear" w:color="auto" w:fill="FFFFFF"/>
        </w:rPr>
        <w:t>踏勘时间：2026年8月2</w:t>
      </w:r>
      <w:r>
        <w:rPr>
          <w:rFonts w:hint="eastAsia" w:ascii="仿宋" w:hAnsi="仿宋" w:eastAsia="仿宋" w:cs="仿宋"/>
          <w:color w:val="auto"/>
          <w:sz w:val="30"/>
          <w:szCs w:val="30"/>
          <w:shd w:val="clear" w:color="auto" w:fill="FFFFFF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0"/>
          <w:szCs w:val="30"/>
          <w:shd w:val="clear" w:color="auto" w:fill="FFFFFF"/>
        </w:rPr>
        <w:t>日 9:00-2026年8月2</w:t>
      </w:r>
      <w:r>
        <w:rPr>
          <w:rFonts w:hint="eastAsia" w:ascii="仿宋" w:hAnsi="仿宋" w:eastAsia="仿宋" w:cs="仿宋"/>
          <w:color w:val="auto"/>
          <w:sz w:val="30"/>
          <w:szCs w:val="30"/>
          <w:shd w:val="clear" w:color="auto" w:fill="FFFFFF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30"/>
          <w:szCs w:val="30"/>
          <w:shd w:val="clear" w:color="auto" w:fill="FFFFFF"/>
        </w:rPr>
        <w:t>日  17:00；</w:t>
      </w:r>
      <w:r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  <w:t>（3）踏勘完成后，须获取采购人出具的《现场踏勘证明》（原件加盖医院公章），并将该证明纳入响应文件；未提供或证明无效的，响应文件将被否决。</w:t>
      </w:r>
    </w:p>
    <w:p>
      <w:pPr>
        <w:pStyle w:val="11"/>
        <w:spacing w:beforeAutospacing="0" w:afterAutospacing="0" w:line="360" w:lineRule="auto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  <w:t>3、供应商针对本项目提供项目服务方案，方案以招标文件的技术要求为基准，应详细描述项目实施中涉及到的各个方面，包括测评指标、测评内容、测评方法、组织结构、安全域划分拓扑图、项目管理与保障、服务承诺等。</w:t>
      </w:r>
    </w:p>
    <w:p>
      <w:pPr>
        <w:pStyle w:val="11"/>
        <w:spacing w:beforeAutospacing="0" w:afterAutospacing="0" w:line="360" w:lineRule="auto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  <w:t>4、项目负责人 (项目经理)具有等级保护高级测评师，项目成员包括1名中级测评师，2名初级测评师，1名渗透工程师 ，需提供上述人员证书复印件并加盖公章，以及相关人员在投标单位近三个月的社保证明。主要技术人员需具备网络安全相关资质（如CISP、CISAW、等保测评师证书等），提供证书复印件并加盖公章。若人员不符合要求或社保证明造假，采购人有权终止合同，并追究供应商违约责任（包括赔偿损失、没收履约保证金等）。</w:t>
      </w:r>
    </w:p>
    <w:p>
      <w:pPr>
        <w:pStyle w:val="11"/>
        <w:spacing w:beforeAutospacing="0" w:afterAutospacing="0" w:line="360" w:lineRule="auto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  <w:t>二、测评范围及内容：</w:t>
      </w:r>
    </w:p>
    <w:p>
      <w:pPr>
        <w:pStyle w:val="11"/>
        <w:spacing w:beforeAutospacing="0" w:afterAutospacing="0" w:line="360" w:lineRule="auto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  <w:t>1、本次测评针对医院信息管理平台（等级保护第三级）、PACS系统（等级保护第三级），需覆盖系统相关的物理环境、网络设备、服务器、数据库、应用程序及配套管理流程。</w:t>
      </w:r>
    </w:p>
    <w:p>
      <w:pPr>
        <w:pStyle w:val="11"/>
        <w:spacing w:beforeAutospacing="0" w:afterAutospacing="0" w:line="360" w:lineRule="auto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  <w:t>2、 安全技术测评（需覆盖以下5个层面，每个层面含具体测评单元）：  </w:t>
      </w:r>
    </w:p>
    <w:tbl>
      <w:tblPr>
        <w:tblStyle w:val="14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6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pStyle w:val="11"/>
              <w:widowControl w:val="0"/>
              <w:spacing w:beforeAutospacing="0" w:afterAutospacing="0" w:line="360" w:lineRule="auto"/>
              <w:jc w:val="both"/>
              <w:textAlignment w:val="baseline"/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  <w:t>测评层面</w:t>
            </w:r>
          </w:p>
        </w:tc>
        <w:tc>
          <w:tcPr>
            <w:tcW w:w="6600" w:type="dxa"/>
          </w:tcPr>
          <w:p>
            <w:pPr>
              <w:pStyle w:val="11"/>
              <w:widowControl w:val="0"/>
              <w:spacing w:beforeAutospacing="0" w:afterAutospacing="0" w:line="360" w:lineRule="auto"/>
              <w:jc w:val="both"/>
              <w:textAlignment w:val="baseline"/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  <w:t>核心测评单元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pStyle w:val="11"/>
              <w:widowControl w:val="0"/>
              <w:spacing w:beforeAutospacing="0" w:afterAutospacing="0" w:line="360" w:lineRule="auto"/>
              <w:jc w:val="both"/>
              <w:textAlignment w:val="baseline"/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  <w:t>安全物理环境</w:t>
            </w:r>
          </w:p>
        </w:tc>
        <w:tc>
          <w:tcPr>
            <w:tcW w:w="6600" w:type="dxa"/>
          </w:tcPr>
          <w:p>
            <w:pPr>
              <w:pStyle w:val="11"/>
              <w:widowControl w:val="0"/>
              <w:spacing w:beforeAutospacing="0" w:afterAutospacing="0" w:line="360" w:lineRule="auto"/>
              <w:jc w:val="both"/>
              <w:textAlignment w:val="baseline"/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  <w:t>物理位置选择、物理访问控制、防盗窃防破坏、防雷击、防火、防水防潮、防静电、温湿度控制、电力供应、电磁防护（共10个单元）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pStyle w:val="11"/>
              <w:widowControl w:val="0"/>
              <w:spacing w:beforeAutospacing="0" w:afterAutospacing="0" w:line="360" w:lineRule="auto"/>
              <w:jc w:val="both"/>
              <w:textAlignment w:val="baseline"/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  <w:t>安全通信网络</w:t>
            </w:r>
          </w:p>
        </w:tc>
        <w:tc>
          <w:tcPr>
            <w:tcW w:w="6600" w:type="dxa"/>
          </w:tcPr>
          <w:p>
            <w:pPr>
              <w:pStyle w:val="11"/>
              <w:widowControl w:val="0"/>
              <w:spacing w:beforeAutospacing="0" w:afterAutospacing="0" w:line="360" w:lineRule="auto"/>
              <w:jc w:val="both"/>
              <w:textAlignment w:val="baseline"/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  <w:t>网络结构（如分区隔离、路由控制）、通信传输（如加密、完整性校验）、可信验证（如设备身份认证）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pStyle w:val="11"/>
              <w:widowControl w:val="0"/>
              <w:spacing w:beforeAutospacing="0" w:afterAutospacing="0" w:line="360" w:lineRule="auto"/>
              <w:jc w:val="both"/>
              <w:textAlignment w:val="baseline"/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  <w:t>安全区域边界</w:t>
            </w:r>
          </w:p>
        </w:tc>
        <w:tc>
          <w:tcPr>
            <w:tcW w:w="6600" w:type="dxa"/>
          </w:tcPr>
          <w:p>
            <w:pPr>
              <w:pStyle w:val="11"/>
              <w:widowControl w:val="0"/>
              <w:spacing w:beforeAutospacing="0" w:afterAutospacing="0" w:line="360" w:lineRule="auto"/>
              <w:jc w:val="both"/>
              <w:textAlignment w:val="baseline"/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  <w:t>边界防护（如防火墙、WAF部署）、访问控制（如策略配置）、入侵防护（如IDS/IPS规则）、恶意代码防范（如杀毒软件部署）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pStyle w:val="11"/>
              <w:widowControl w:val="0"/>
              <w:spacing w:beforeAutospacing="0" w:afterAutospacing="0" w:line="360" w:lineRule="auto"/>
              <w:jc w:val="both"/>
              <w:textAlignment w:val="baseline"/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  <w:t>安全计算环境</w:t>
            </w:r>
          </w:p>
        </w:tc>
        <w:tc>
          <w:tcPr>
            <w:tcW w:w="6600" w:type="dxa"/>
          </w:tcPr>
          <w:p>
            <w:pPr>
              <w:pStyle w:val="11"/>
              <w:widowControl w:val="0"/>
              <w:spacing w:beforeAutospacing="0" w:afterAutospacing="0" w:line="360" w:lineRule="auto"/>
              <w:jc w:val="both"/>
              <w:textAlignment w:val="baseline"/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  <w:t>身份鉴别（如多因素认证）、访问控制（如权限最小化）、安全审计（如日志留存）、数据完整性/保密性（如数据加密）、个人信息保护（如患者信息脱敏）（共9个单元）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pStyle w:val="11"/>
              <w:widowControl w:val="0"/>
              <w:spacing w:beforeAutospacing="0" w:afterAutospacing="0" w:line="360" w:lineRule="auto"/>
              <w:ind w:firstLine="150" w:firstLineChars="50"/>
              <w:jc w:val="both"/>
              <w:textAlignment w:val="baseline"/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  <w:t>安全管理中心</w:t>
            </w:r>
          </w:p>
        </w:tc>
        <w:tc>
          <w:tcPr>
            <w:tcW w:w="6600" w:type="dxa"/>
          </w:tcPr>
          <w:p>
            <w:pPr>
              <w:pStyle w:val="11"/>
              <w:widowControl w:val="0"/>
              <w:spacing w:beforeAutospacing="0" w:afterAutospacing="0" w:line="360" w:lineRule="auto"/>
              <w:ind w:firstLine="150" w:firstLineChars="50"/>
              <w:jc w:val="both"/>
              <w:textAlignment w:val="baseline"/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  <w:t>系统管理（如统一运维）、审计管理（如日志分析）、安全管理（如漏洞管理）、集中管控（如策略统一配置）</w:t>
            </w:r>
          </w:p>
        </w:tc>
      </w:tr>
    </w:tbl>
    <w:p>
      <w:pPr>
        <w:pStyle w:val="11"/>
        <w:spacing w:beforeAutospacing="0" w:afterAutospacing="0" w:line="360" w:lineRule="auto"/>
        <w:ind w:firstLine="150" w:firstLineChars="50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</w:p>
    <w:p>
      <w:pPr>
        <w:pStyle w:val="11"/>
        <w:spacing w:beforeAutospacing="0" w:afterAutospacing="0" w:line="360" w:lineRule="auto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  <w:t>3、安全管理测评（需覆盖以下4个层面）：  </w:t>
      </w:r>
    </w:p>
    <w:tbl>
      <w:tblPr>
        <w:tblStyle w:val="14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6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pStyle w:val="11"/>
              <w:widowControl w:val="0"/>
              <w:spacing w:beforeAutospacing="0" w:afterAutospacing="0" w:line="360" w:lineRule="auto"/>
              <w:ind w:firstLine="150" w:firstLineChars="50"/>
              <w:jc w:val="both"/>
              <w:textAlignment w:val="baseline"/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  <w:t>测评层面</w:t>
            </w:r>
          </w:p>
        </w:tc>
        <w:tc>
          <w:tcPr>
            <w:tcW w:w="6600" w:type="dxa"/>
          </w:tcPr>
          <w:p>
            <w:pPr>
              <w:pStyle w:val="11"/>
              <w:widowControl w:val="0"/>
              <w:spacing w:beforeAutospacing="0" w:afterAutospacing="0" w:line="360" w:lineRule="auto"/>
              <w:ind w:firstLine="150" w:firstLineChars="50"/>
              <w:jc w:val="both"/>
              <w:textAlignment w:val="baseline"/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  <w:t>核心测评单元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pStyle w:val="11"/>
              <w:widowControl w:val="0"/>
              <w:spacing w:beforeAutospacing="0" w:afterAutospacing="0" w:line="360" w:lineRule="auto"/>
              <w:ind w:firstLine="150" w:firstLineChars="50"/>
              <w:jc w:val="both"/>
              <w:textAlignment w:val="baseline"/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  <w:t>安全管理机构</w:t>
            </w:r>
          </w:p>
        </w:tc>
        <w:tc>
          <w:tcPr>
            <w:tcW w:w="6600" w:type="dxa"/>
          </w:tcPr>
          <w:p>
            <w:pPr>
              <w:pStyle w:val="11"/>
              <w:widowControl w:val="0"/>
              <w:spacing w:beforeAutospacing="0" w:afterAutospacing="0" w:line="360" w:lineRule="auto"/>
              <w:ind w:firstLine="150" w:firstLineChars="50"/>
              <w:jc w:val="both"/>
              <w:textAlignment w:val="baseline"/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  <w:t>岗位设置（如安全负责人、安全员）、人员配备、授权审批流程、内外部沟通合作机制、定期审核检查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pStyle w:val="11"/>
              <w:widowControl w:val="0"/>
              <w:spacing w:beforeAutospacing="0" w:afterAutospacing="0" w:line="360" w:lineRule="auto"/>
              <w:ind w:firstLine="150" w:firstLineChars="50"/>
              <w:jc w:val="both"/>
              <w:textAlignment w:val="baseline"/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  <w:t>安全人员管理</w:t>
            </w:r>
          </w:p>
        </w:tc>
        <w:tc>
          <w:tcPr>
            <w:tcW w:w="6600" w:type="dxa"/>
          </w:tcPr>
          <w:p>
            <w:pPr>
              <w:pStyle w:val="11"/>
              <w:widowControl w:val="0"/>
              <w:spacing w:beforeAutospacing="0" w:afterAutospacing="0" w:line="360" w:lineRule="auto"/>
              <w:ind w:firstLine="150" w:firstLineChars="50"/>
              <w:jc w:val="both"/>
              <w:textAlignment w:val="baseline"/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  <w:t>人员录用（背景审查）、人员离岗（权限回收）、安全意识培训（年度培训记录）、外部人员访问管理（如访客登记）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pStyle w:val="11"/>
              <w:widowControl w:val="0"/>
              <w:spacing w:beforeAutospacing="0" w:afterAutospacing="0" w:line="360" w:lineRule="auto"/>
              <w:ind w:firstLine="150" w:firstLineChars="50"/>
              <w:jc w:val="both"/>
              <w:textAlignment w:val="baseline"/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  <w:t>安全建设管理</w:t>
            </w:r>
          </w:p>
        </w:tc>
        <w:tc>
          <w:tcPr>
            <w:tcW w:w="6600" w:type="dxa"/>
          </w:tcPr>
          <w:p>
            <w:pPr>
              <w:pStyle w:val="11"/>
              <w:widowControl w:val="0"/>
              <w:spacing w:beforeAutospacing="0" w:afterAutospacing="0" w:line="360" w:lineRule="auto"/>
              <w:ind w:firstLine="150" w:firstLineChars="50"/>
              <w:jc w:val="both"/>
              <w:textAlignment w:val="baseline"/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  <w:t>定级备案（备案证明）、安全方案设计（合规性）、产品采购（国产化要求）、测试验收（第三方测试报告）、等级测评（历史测评记录）（共10个单元）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pStyle w:val="11"/>
              <w:widowControl w:val="0"/>
              <w:spacing w:beforeAutospacing="0" w:afterAutospacing="0" w:line="360" w:lineRule="auto"/>
              <w:ind w:firstLine="150" w:firstLineChars="50"/>
              <w:jc w:val="both"/>
              <w:textAlignment w:val="baseline"/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  <w:t>安全运维管理</w:t>
            </w:r>
          </w:p>
        </w:tc>
        <w:tc>
          <w:tcPr>
            <w:tcW w:w="6600" w:type="dxa"/>
          </w:tcPr>
          <w:p>
            <w:pPr>
              <w:pStyle w:val="11"/>
              <w:widowControl w:val="0"/>
              <w:spacing w:beforeAutospacing="0" w:afterAutospacing="0" w:line="360" w:lineRule="auto"/>
              <w:ind w:firstLine="150" w:firstLineChars="50"/>
              <w:jc w:val="both"/>
              <w:textAlignment w:val="baseline"/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666666"/>
                <w:sz w:val="30"/>
                <w:szCs w:val="30"/>
                <w:shd w:val="clear" w:color="auto" w:fill="FFFFFF"/>
              </w:rPr>
              <w:t>环境管理（机房巡检）、资产管理（设备台账）、漏洞管理（定期扫描）、备份恢复（数据备份测试）、安全事件处置（应急响应）、应急预案管理（演练记录）</w:t>
            </w:r>
          </w:p>
        </w:tc>
      </w:tr>
    </w:tbl>
    <w:p>
      <w:pPr>
        <w:pStyle w:val="11"/>
        <w:spacing w:beforeAutospacing="0" w:afterAutospacing="0" w:line="360" w:lineRule="auto"/>
        <w:ind w:firstLine="150" w:firstLineChars="50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</w:p>
    <w:p>
      <w:pPr>
        <w:pStyle w:val="11"/>
        <w:spacing w:beforeAutospacing="0" w:afterAutospacing="0" w:line="360" w:lineRule="auto"/>
        <w:ind w:firstLine="150" w:firstLineChars="50"/>
        <w:textAlignment w:val="baseline"/>
        <w:rPr>
          <w:rFonts w:hint="eastAsia" w:ascii="仿宋" w:hAnsi="仿宋" w:eastAsia="仿宋" w:cs="仿宋"/>
          <w:b/>
          <w:bCs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  <w:t>4、系统整体测评：（1）安全控制间关联测评：检查技术控制与管理控制的互补性（如技术防护与管理制度是否匹配）；（2）层面间关联测评：检查物理环境、网络、计算环境等层面的防护衔接（如机房物理防护与网络边界防护是否协同）；（3）区域间关联测评：检查系统不同区域（如内网、DMZ区）的访问控制策略一致性；（4）系统结构安全测评：检查系统拓扑合理性、冗余设计、灾备能力等。</w:t>
      </w:r>
    </w:p>
    <w:p>
      <w:pPr>
        <w:pStyle w:val="11"/>
        <w:spacing w:beforeAutospacing="0" w:afterAutospacing="0" w:line="360" w:lineRule="auto"/>
        <w:ind w:firstLine="151" w:firstLineChars="50"/>
        <w:textAlignment w:val="baseline"/>
        <w:rPr>
          <w:rFonts w:hint="eastAsia" w:ascii="仿宋" w:hAnsi="仿宋" w:eastAsia="仿宋" w:cs="仿宋"/>
          <w:b/>
          <w:bCs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666666"/>
          <w:sz w:val="30"/>
          <w:szCs w:val="30"/>
          <w:shd w:val="clear" w:color="auto" w:fill="FFFFFF"/>
        </w:rPr>
        <w:t>三、服务交付要求</w:t>
      </w:r>
    </w:p>
    <w:p>
      <w:pPr>
        <w:pStyle w:val="11"/>
        <w:spacing w:beforeAutospacing="0" w:afterAutospacing="0" w:line="360" w:lineRule="auto"/>
        <w:ind w:firstLine="150" w:firstLineChars="50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  <w:t>1. 编制：（1）基于测评结果，对照GB/T 22239-2019三级要求，梳理安全差距；（2）出具《医院信息管理平台网络安全建设整改方案》、《PACS系统网络安全建设整改方案》，内容需包含：整改目标、整改措施（技术+管理）、整改时限、预算估算（可选）、实施优先级；（3）方案需符合医疗行业规范，避免影响系统日常诊疗使用（如影像传输、报告生成）。</w:t>
      </w:r>
    </w:p>
    <w:p>
      <w:pPr>
        <w:pStyle w:val="11"/>
        <w:spacing w:beforeAutospacing="0" w:afterAutospacing="0" w:line="360" w:lineRule="auto"/>
        <w:ind w:firstLine="150" w:firstLineChars="50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  <w:t>2、因本单位信息系统存储重要数据，本次提供服务的供应商，在投标文件内提报的所有技术人员，需测评服务启动开始，至测评报告交付之日止，全程提供驻场服务，若甲方发现现场实施人员与投标文件提报人员不符，有权单方面终止合同。</w:t>
      </w:r>
    </w:p>
    <w:p>
      <w:pPr>
        <w:pStyle w:val="11"/>
        <w:spacing w:beforeAutospacing="0" w:afterAutospacing="0" w:line="360" w:lineRule="auto"/>
        <w:ind w:firstLine="150" w:firstLineChars="50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  <w:t>3. 测评报告交付：（1）出具《医院信息管理平台安全等级保护测评报告》《PACS系统安全等级保护测评报告》（以下简称《测评报告》），需符合GB/T 28449-2018要求，包含：测评概况、测评依据、测评结果、风险分析、整改建议等章节；（2）《测评报告》需通过公安机关网安部门审核（若需），确保可作为等保合规证明文件；（3）交付数量：《测评报告》正本各1份、副本各3份（纸质版加盖供应商公章），电子版各1份（PDF格式，U盘存储）。</w:t>
      </w:r>
    </w:p>
    <w:p>
      <w:pPr>
        <w:pStyle w:val="11"/>
        <w:spacing w:beforeAutospacing="0" w:afterAutospacing="0" w:line="360" w:lineRule="auto"/>
        <w:ind w:firstLine="150" w:firstLineChars="50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  <w:t>4. 工具测试及数据清理：（1）测评过程中需使用合规的测试工具（如漏洞扫描工具、渗透测试工具），工具需具备相关资质（如国家保密局或公安部门认证），并提供工具清单及资质证明；（2）测试完成后，需立即删除以下内容：测试过程中获取的医院信息管理平台、PACS系统数据；临时创建的测试账号、测试权限；测试生成的临时文件（如扫描日志、测试脚本）；（3）恢复系统至测试前正常状态，需经采购人信息科确认无误后，方可离场。</w:t>
      </w:r>
    </w:p>
    <w:p>
      <w:pPr>
        <w:pStyle w:val="11"/>
        <w:spacing w:beforeAutospacing="0" w:afterAutospacing="0" w:line="360" w:lineRule="auto"/>
        <w:ind w:firstLine="151" w:firstLineChars="50"/>
        <w:textAlignment w:val="baseline"/>
        <w:rPr>
          <w:rFonts w:hint="eastAsia" w:ascii="仿宋" w:hAnsi="仿宋" w:eastAsia="仿宋" w:cs="仿宋"/>
          <w:b/>
          <w:bCs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666666"/>
          <w:sz w:val="30"/>
          <w:szCs w:val="30"/>
          <w:shd w:val="clear" w:color="auto" w:fill="FFFFFF"/>
        </w:rPr>
        <w:t>四、报价要求</w:t>
      </w:r>
    </w:p>
    <w:p>
      <w:pPr>
        <w:pStyle w:val="11"/>
        <w:spacing w:beforeAutospacing="0" w:afterAutospacing="0" w:line="360" w:lineRule="auto"/>
        <w:ind w:firstLine="150" w:firstLineChars="50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  <w:t>1. 本次报价为一次性含税报价，报价币种为人民币，包含以下全部费用：</w:t>
      </w:r>
    </w:p>
    <w:p>
      <w:pPr>
        <w:pStyle w:val="11"/>
        <w:spacing w:beforeAutospacing="0" w:afterAutospacing="0" w:line="360" w:lineRule="auto"/>
        <w:ind w:firstLine="150" w:firstLineChars="50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  <w:t>（1）测评服务费用：人工、技术支持、工具使用、现场差旅等；</w:t>
      </w:r>
    </w:p>
    <w:p>
      <w:pPr>
        <w:pStyle w:val="11"/>
        <w:spacing w:beforeAutospacing="0" w:afterAutospacing="0" w:line="360" w:lineRule="auto"/>
        <w:ind w:firstLine="150" w:firstLineChars="50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  <w:t>（2）成果交付费用：报告打印、装订、电子版存储介质等；</w:t>
      </w:r>
    </w:p>
    <w:p>
      <w:pPr>
        <w:pStyle w:val="11"/>
        <w:spacing w:beforeAutospacing="0" w:afterAutospacing="0" w:line="360" w:lineRule="auto"/>
        <w:ind w:firstLine="150" w:firstLineChars="50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  <w:t>（3）税费：增值税（税率需在报价表中明确）；</w:t>
      </w:r>
    </w:p>
    <w:p>
      <w:pPr>
        <w:pStyle w:val="11"/>
        <w:spacing w:beforeAutospacing="0" w:afterAutospacing="0" w:line="360" w:lineRule="auto"/>
        <w:ind w:firstLine="150" w:firstLineChars="50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  <w:t>（4）后续服务费用：如《测评报告》修订、整改咨询（1年内免费）。  </w:t>
      </w:r>
    </w:p>
    <w:p>
      <w:pPr>
        <w:pStyle w:val="11"/>
        <w:spacing w:beforeAutospacing="0" w:afterAutospacing="0" w:line="360" w:lineRule="auto"/>
        <w:ind w:firstLine="150" w:firstLineChars="50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  <w:t>2. 报价需在响应文件的《报价一览表》（附件2-1）和《分项报价表》（附件3）中明确，报价金额需保留2位小数，且两份表格的“合计总价”必须一致；若不一致，以《分项报价表》为准修正。  </w:t>
      </w:r>
    </w:p>
    <w:p>
      <w:pPr>
        <w:pStyle w:val="11"/>
        <w:spacing w:beforeAutospacing="0" w:afterAutospacing="0" w:line="360" w:lineRule="auto"/>
        <w:ind w:firstLine="150" w:firstLineChars="50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  <w:t>3. 报价一经提交，不得擅自更改；若发现报价存在计算错误，供应商需在响应文件递交截止前提交书面澄清（加盖公章），澄清不得改变报价实质内容。</w:t>
      </w:r>
    </w:p>
    <w:p>
      <w:pPr>
        <w:pStyle w:val="11"/>
        <w:spacing w:beforeAutospacing="0" w:afterAutospacing="0" w:line="360" w:lineRule="auto"/>
        <w:ind w:firstLine="151" w:firstLineChars="50"/>
        <w:textAlignment w:val="baseline"/>
        <w:rPr>
          <w:rFonts w:hint="eastAsia" w:ascii="仿宋" w:hAnsi="仿宋" w:eastAsia="仿宋" w:cs="仿宋"/>
          <w:b/>
          <w:bCs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666666"/>
          <w:sz w:val="30"/>
          <w:szCs w:val="30"/>
          <w:shd w:val="clear" w:color="auto" w:fill="FFFFFF"/>
        </w:rPr>
        <w:t>五、评审办法</w:t>
      </w:r>
    </w:p>
    <w:p>
      <w:pPr>
        <w:pStyle w:val="11"/>
        <w:spacing w:beforeAutospacing="0" w:afterAutospacing="0" w:line="360" w:lineRule="auto"/>
        <w:ind w:firstLine="150" w:firstLineChars="50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  <w:t>本次采购采用经评审最低价法，具体流程如下：  </w:t>
      </w:r>
    </w:p>
    <w:p>
      <w:pPr>
        <w:pStyle w:val="11"/>
        <w:spacing w:beforeAutospacing="0" w:afterAutospacing="0" w:line="360" w:lineRule="auto"/>
        <w:ind w:firstLine="150" w:firstLineChars="50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  <w:t>1. 资格审查：评审小组首先对供应商的资格证明材料（营业执照、等保测评资质、现场踏勘证明等）进行审查，不符合本公告特定资格要求的，直接淘汰。</w:t>
      </w:r>
    </w:p>
    <w:p>
      <w:pPr>
        <w:pStyle w:val="11"/>
        <w:spacing w:beforeAutospacing="0" w:afterAutospacing="0" w:line="360" w:lineRule="auto"/>
        <w:ind w:firstLine="150" w:firstLineChars="50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  <w:t>2. 符合性审查：对通过资格审查的供应商，审查其响应文件是否符合以下要求：</w:t>
      </w:r>
    </w:p>
    <w:p>
      <w:pPr>
        <w:pStyle w:val="11"/>
        <w:spacing w:beforeAutospacing="0" w:afterAutospacing="0" w:line="360" w:lineRule="auto"/>
        <w:ind w:firstLine="150" w:firstLineChars="50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  <w:t>（1）响应文件格式完整（包含本公告要求的全部附件）；</w:t>
      </w:r>
    </w:p>
    <w:p>
      <w:pPr>
        <w:pStyle w:val="11"/>
        <w:spacing w:beforeAutospacing="0" w:afterAutospacing="0" w:line="360" w:lineRule="auto"/>
        <w:ind w:firstLine="150" w:firstLineChars="50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  <w:t>（2）报价符合“一次性含税报价”要求，无缺漏项；</w:t>
      </w:r>
    </w:p>
    <w:p>
      <w:pPr>
        <w:pStyle w:val="11"/>
        <w:spacing w:beforeAutospacing="0" w:afterAutospacing="0" w:line="360" w:lineRule="auto"/>
        <w:ind w:firstLine="150" w:firstLineChars="50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  <w:t>（3）技术方案覆盖全部测评内容，无实质性偏离（如未遗漏安全管理测评）；</w:t>
      </w:r>
    </w:p>
    <w:p>
      <w:pPr>
        <w:pStyle w:val="11"/>
        <w:spacing w:beforeAutospacing="0" w:afterAutospacing="0" w:line="360" w:lineRule="auto"/>
        <w:ind w:firstLine="150" w:firstLineChars="50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  <w:t>（4）服务承诺满足时间要求（2026年9月30日前完成）及保密要求。</w:t>
      </w:r>
    </w:p>
    <w:p>
      <w:pPr>
        <w:pStyle w:val="11"/>
        <w:spacing w:beforeAutospacing="0" w:afterAutospacing="0" w:line="360" w:lineRule="auto"/>
        <w:ind w:firstLine="150" w:firstLineChars="50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  <w:t>3. 报价评审：在通过资格审查和符合性审查的供应商中，按报价由低到高排序，报价最低的供应商确定为成交供应商。  </w:t>
      </w:r>
    </w:p>
    <w:p>
      <w:pPr>
        <w:pStyle w:val="11"/>
        <w:spacing w:beforeAutospacing="0" w:afterAutospacing="0" w:line="360" w:lineRule="auto"/>
        <w:ind w:firstLine="150" w:firstLineChars="50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  <w:t>4. 并列处理：若2家及以上供应商报价相同且为最低报价，通过以下方式确定成交供应商：</w:t>
      </w:r>
    </w:p>
    <w:p>
      <w:pPr>
        <w:pStyle w:val="11"/>
        <w:spacing w:beforeAutospacing="0" w:afterAutospacing="0" w:line="360" w:lineRule="auto"/>
        <w:ind w:firstLine="150" w:firstLineChars="50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  <w:t>（1）优先选择具备医疗行业等保测评经验（提供近3年医院三级等保项目合同复印件）的供应商；</w:t>
      </w:r>
    </w:p>
    <w:p>
      <w:pPr>
        <w:pStyle w:val="11"/>
        <w:spacing w:beforeAutospacing="0" w:afterAutospacing="0" w:line="360" w:lineRule="auto"/>
        <w:ind w:firstLine="150" w:firstLineChars="50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  <w:t>（2）若经验相同，通过抽签方式确定（抽签过程需全程录像，由评审小组及监督人员见证）。  </w:t>
      </w:r>
    </w:p>
    <w:p>
      <w:pPr>
        <w:pStyle w:val="11"/>
        <w:spacing w:beforeAutospacing="0" w:afterAutospacing="0" w:line="360" w:lineRule="auto"/>
        <w:ind w:firstLine="151" w:firstLineChars="50"/>
        <w:textAlignment w:val="baseline"/>
        <w:rPr>
          <w:rFonts w:hint="eastAsia" w:ascii="仿宋" w:hAnsi="仿宋" w:eastAsia="仿宋" w:cs="仿宋"/>
          <w:b/>
          <w:bCs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666666"/>
          <w:sz w:val="30"/>
          <w:szCs w:val="30"/>
          <w:shd w:val="clear" w:color="auto" w:fill="FFFFFF"/>
        </w:rPr>
        <w:t>六、时间要求</w:t>
      </w:r>
    </w:p>
    <w:p>
      <w:pPr>
        <w:pStyle w:val="11"/>
        <w:spacing w:beforeAutospacing="0" w:afterAutospacing="0" w:line="360" w:lineRule="auto"/>
        <w:ind w:firstLine="150" w:firstLineChars="50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  <w:t>1、 项目实施周期：自合同签订之日起至2026年9月30日前，完成2026年度的全部测评工作并交付《测评报告》；2027年、2028年的测评工作均需按要求进行测评，逾期未完成的，每逾期1天，按合同总金额的【0.5%】支付违约金（违约金累计不超过合同总金额的10%）。  </w:t>
      </w:r>
    </w:p>
    <w:p>
      <w:pPr>
        <w:pStyle w:val="11"/>
        <w:spacing w:beforeAutospacing="0" w:afterAutospacing="0" w:line="360" w:lineRule="auto"/>
        <w:ind w:firstLine="151" w:firstLineChars="50"/>
        <w:textAlignment w:val="baseline"/>
        <w:rPr>
          <w:rFonts w:hint="eastAsia" w:ascii="仿宋" w:hAnsi="仿宋" w:eastAsia="仿宋" w:cs="仿宋"/>
          <w:b/>
          <w:bCs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666666"/>
          <w:sz w:val="30"/>
          <w:szCs w:val="30"/>
          <w:shd w:val="clear" w:color="auto" w:fill="FFFFFF"/>
        </w:rPr>
        <w:t>七、付款方式</w:t>
      </w:r>
    </w:p>
    <w:p>
      <w:pPr>
        <w:pStyle w:val="11"/>
        <w:spacing w:beforeAutospacing="0" w:afterAutospacing="0" w:line="360" w:lineRule="auto"/>
        <w:ind w:firstLine="151" w:firstLineChars="50"/>
        <w:textAlignment w:val="baseline"/>
        <w:rPr>
          <w:rFonts w:hint="eastAsia" w:ascii="仿宋" w:hAnsi="仿宋" w:eastAsia="仿宋" w:cs="仿宋"/>
          <w:color w:val="FF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666666"/>
          <w:sz w:val="30"/>
          <w:szCs w:val="30"/>
          <w:shd w:val="clear" w:color="auto" w:fill="FFFFFF"/>
        </w:rPr>
        <w:t>付款进度：合同签订后，中标人按要求完成测评工作，并</w:t>
      </w:r>
      <w:r>
        <w:rPr>
          <w:rFonts w:hint="eastAsia" w:ascii="仿宋" w:hAnsi="仿宋" w:eastAsia="仿宋" w:cs="仿宋"/>
          <w:sz w:val="30"/>
          <w:szCs w:val="30"/>
          <w:shd w:val="clear" w:color="auto" w:fill="FFFFFF"/>
        </w:rPr>
        <w:t>交付以下年度测评报告：《医院信息管理平台安全等级保护测评报告》（正本1份、副本3份），《PACS系统安全等级保护测评报告》（正本1份、副本3份）由采购人管理部门验收后，中标人提供等额合法发票（增值税普通发票），采购人30个工作日内按年度测评进度进行核付；</w:t>
      </w:r>
    </w:p>
    <w:p>
      <w:pPr>
        <w:pStyle w:val="11"/>
        <w:spacing w:beforeAutospacing="0" w:afterAutospacing="0" w:line="360" w:lineRule="auto"/>
        <w:ind w:firstLine="150" w:firstLineChars="50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  <w:t>3. 付款方式：银行转账（需成交供应商提供基本账户信息）。</w:t>
      </w:r>
    </w:p>
    <w:p>
      <w:pPr>
        <w:pStyle w:val="11"/>
        <w:spacing w:beforeAutospacing="0" w:afterAutospacing="0" w:line="360" w:lineRule="auto"/>
        <w:ind w:firstLine="151" w:firstLineChars="50"/>
        <w:textAlignment w:val="baseline"/>
        <w:rPr>
          <w:rFonts w:hint="eastAsia" w:ascii="仿宋" w:hAnsi="仿宋" w:eastAsia="仿宋" w:cs="仿宋"/>
          <w:b/>
          <w:bCs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666666"/>
          <w:sz w:val="30"/>
          <w:szCs w:val="30"/>
          <w:shd w:val="clear" w:color="auto" w:fill="FFFFFF"/>
        </w:rPr>
        <w:t>八、保密要求</w:t>
      </w:r>
    </w:p>
    <w:p>
      <w:pPr>
        <w:pStyle w:val="11"/>
        <w:spacing w:beforeAutospacing="0" w:afterAutospacing="0" w:line="360" w:lineRule="auto"/>
        <w:ind w:firstLine="150" w:firstLineChars="50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  <w:t>1. 成交供应商须在项目实施前与采购人签订《保密协议》（协议模板由采购人提供），未签订的，不得开展测评工作。  </w:t>
      </w:r>
    </w:p>
    <w:p>
      <w:pPr>
        <w:pStyle w:val="11"/>
        <w:spacing w:beforeAutospacing="0" w:afterAutospacing="0" w:line="360" w:lineRule="auto"/>
        <w:ind w:firstLine="150" w:firstLineChars="50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  <w:t>2. 测评过程中，供应商不得泄露以下信息：</w:t>
      </w:r>
    </w:p>
    <w:p>
      <w:pPr>
        <w:pStyle w:val="11"/>
        <w:spacing w:beforeAutospacing="0" w:afterAutospacing="0" w:line="360" w:lineRule="auto"/>
        <w:ind w:firstLine="150" w:firstLineChars="50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  <w:t>（1）采购人医院信息管理平台、PACS系统的拓扑结构、IP地址、账号密码等技术信息；</w:t>
      </w:r>
    </w:p>
    <w:p>
      <w:pPr>
        <w:pStyle w:val="11"/>
        <w:spacing w:beforeAutospacing="0" w:afterAutospacing="0" w:line="360" w:lineRule="auto"/>
        <w:ind w:firstLine="150" w:firstLineChars="50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  <w:t>（2）患者影像数据、诊断报告等医疗隐私信息；（3）测评过程数据（如漏洞扫描结果、风险项清单）及《测评报告》内容。  </w:t>
      </w:r>
    </w:p>
    <w:p>
      <w:pPr>
        <w:pStyle w:val="11"/>
        <w:spacing w:beforeAutospacing="0" w:afterAutospacing="0" w:line="360" w:lineRule="auto"/>
        <w:ind w:firstLine="150" w:firstLineChars="50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  <w:t>3. 未经采购人书面授权，供应商不得将测评相关资料（含电子文档）转交任何第三方，不得利用相关数据开展与本项目无关的活动（如商业推广）。  </w:t>
      </w:r>
    </w:p>
    <w:p>
      <w:pPr>
        <w:pStyle w:val="11"/>
        <w:spacing w:beforeAutospacing="0" w:afterAutospacing="0" w:line="360" w:lineRule="auto"/>
        <w:ind w:firstLine="150" w:firstLineChars="50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  <w:t>4. 若违反保密约定，采购人有权终止合同，没收已支付款项，并要求供应商赔偿由此造成的全部损失（包括但不限于直接经济损失、名誉损失）；情节严重的，追究其法律责任。</w:t>
      </w:r>
    </w:p>
    <w:p>
      <w:pPr>
        <w:pStyle w:val="11"/>
        <w:spacing w:beforeAutospacing="0" w:afterAutospacing="0" w:line="360" w:lineRule="auto"/>
        <w:ind w:firstLine="151" w:firstLineChars="50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666666"/>
          <w:sz w:val="30"/>
          <w:szCs w:val="30"/>
          <w:shd w:val="clear" w:color="auto" w:fill="FFFFFF"/>
        </w:rPr>
        <w:t>九、应急处理：</w:t>
      </w:r>
      <w:r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  <w:t>测评过程中若因供应商操作失误导致医院信息管理平台、PACS系统故障，供应商需立即停止测试，协助采购人恢复系统，并承担全部责任（包括维修费用、诊疗损失赔偿）。  </w:t>
      </w:r>
    </w:p>
    <w:p>
      <w:pPr>
        <w:pStyle w:val="11"/>
        <w:spacing w:beforeAutospacing="0" w:afterAutospacing="0" w:line="360" w:lineRule="auto"/>
        <w:ind w:firstLine="150" w:firstLineChars="50"/>
        <w:textAlignment w:val="baseline"/>
        <w:rPr>
          <w:rFonts w:hint="eastAsia" w:ascii="仿宋" w:hAnsi="仿宋" w:eastAsia="仿宋" w:cs="仿宋"/>
          <w:color w:val="666666"/>
          <w:sz w:val="30"/>
          <w:szCs w:val="30"/>
          <w:shd w:val="clear" w:color="auto" w:fill="FFFFFF"/>
        </w:rPr>
      </w:pPr>
    </w:p>
    <w:p>
      <w:pPr>
        <w:pStyle w:val="11"/>
        <w:spacing w:beforeAutospacing="0" w:afterAutospacing="0" w:line="360" w:lineRule="auto"/>
        <w:textAlignment w:val="baseline"/>
        <w:rPr>
          <w:rFonts w:hint="eastAsia" w:ascii="仿宋" w:hAnsi="仿宋" w:eastAsia="仿宋" w:cs="仿宋"/>
          <w:b/>
          <w:bCs/>
          <w:color w:val="666666"/>
          <w:sz w:val="30"/>
          <w:szCs w:val="30"/>
          <w:shd w:val="clear" w:color="auto" w:fill="FFFFFF"/>
        </w:rPr>
      </w:pPr>
    </w:p>
    <w:p>
      <w:pPr>
        <w:pStyle w:val="11"/>
        <w:spacing w:beforeAutospacing="0" w:afterAutospacing="0" w:line="360" w:lineRule="auto"/>
        <w:textAlignment w:val="baseline"/>
        <w:rPr>
          <w:rFonts w:hint="eastAsia" w:ascii="仿宋" w:hAnsi="仿宋" w:eastAsia="仿宋" w:cs="仿宋"/>
          <w:b/>
          <w:bCs/>
          <w:color w:val="666666"/>
          <w:sz w:val="30"/>
          <w:szCs w:val="30"/>
          <w:shd w:val="clear" w:color="auto" w:fill="FFFFFF"/>
        </w:rPr>
      </w:pPr>
    </w:p>
    <w:p>
      <w:pPr>
        <w:pStyle w:val="11"/>
        <w:spacing w:beforeAutospacing="0" w:afterAutospacing="0" w:line="360" w:lineRule="auto"/>
        <w:textAlignment w:val="baseline"/>
        <w:rPr>
          <w:rFonts w:hint="eastAsia" w:ascii="仿宋" w:hAnsi="仿宋" w:eastAsia="仿宋" w:cs="仿宋"/>
          <w:b/>
          <w:bCs/>
          <w:color w:val="666666"/>
          <w:sz w:val="30"/>
          <w:szCs w:val="30"/>
          <w:shd w:val="clear" w:color="auto" w:fill="FFFFFF"/>
        </w:rPr>
      </w:pPr>
    </w:p>
    <w:p>
      <w:pPr>
        <w:pStyle w:val="11"/>
        <w:spacing w:beforeAutospacing="0" w:afterAutospacing="0" w:line="360" w:lineRule="auto"/>
        <w:textAlignment w:val="baseline"/>
        <w:rPr>
          <w:rFonts w:hint="eastAsia" w:ascii="仿宋" w:hAnsi="仿宋" w:eastAsia="仿宋" w:cs="仿宋"/>
          <w:b/>
          <w:bCs/>
          <w:color w:val="666666"/>
          <w:sz w:val="30"/>
          <w:szCs w:val="30"/>
          <w:shd w:val="clear" w:color="auto" w:fill="FFFFFF"/>
        </w:rPr>
      </w:pPr>
    </w:p>
    <w:p>
      <w:pPr>
        <w:pStyle w:val="11"/>
        <w:spacing w:beforeAutospacing="0" w:afterAutospacing="0" w:line="360" w:lineRule="auto"/>
        <w:textAlignment w:val="baseline"/>
        <w:rPr>
          <w:rFonts w:hint="eastAsia" w:ascii="仿宋" w:hAnsi="仿宋" w:eastAsia="仿宋" w:cs="仿宋"/>
          <w:b/>
          <w:bCs/>
          <w:color w:val="666666"/>
          <w:sz w:val="30"/>
          <w:szCs w:val="30"/>
          <w:shd w:val="clear" w:color="auto" w:fill="FFFFFF"/>
        </w:rPr>
      </w:pPr>
    </w:p>
    <w:p>
      <w:pPr>
        <w:pStyle w:val="11"/>
        <w:spacing w:beforeAutospacing="0" w:afterAutospacing="0" w:line="360" w:lineRule="auto"/>
        <w:textAlignment w:val="baseline"/>
        <w:rPr>
          <w:rFonts w:hint="eastAsia" w:ascii="仿宋" w:hAnsi="仿宋" w:eastAsia="仿宋" w:cs="仿宋"/>
          <w:b/>
          <w:bCs/>
          <w:color w:val="666666"/>
          <w:sz w:val="30"/>
          <w:szCs w:val="30"/>
          <w:shd w:val="clear" w:color="auto" w:fill="FFFFFF"/>
        </w:rPr>
      </w:pPr>
    </w:p>
    <w:p>
      <w:pPr>
        <w:pStyle w:val="11"/>
        <w:spacing w:beforeAutospacing="0" w:afterAutospacing="0" w:line="360" w:lineRule="auto"/>
        <w:textAlignment w:val="baseline"/>
        <w:rPr>
          <w:rFonts w:hint="eastAsia" w:ascii="仿宋" w:hAnsi="仿宋" w:eastAsia="仿宋" w:cs="仿宋"/>
          <w:b/>
          <w:bCs/>
          <w:color w:val="666666"/>
          <w:sz w:val="30"/>
          <w:szCs w:val="30"/>
          <w:shd w:val="clear" w:color="auto" w:fill="FFFFFF"/>
        </w:rPr>
      </w:pPr>
    </w:p>
    <w:p>
      <w:pPr>
        <w:pStyle w:val="11"/>
        <w:spacing w:beforeAutospacing="0" w:afterAutospacing="0" w:line="360" w:lineRule="auto"/>
        <w:textAlignment w:val="baseline"/>
        <w:rPr>
          <w:rFonts w:hint="eastAsia" w:ascii="仿宋" w:hAnsi="仿宋" w:eastAsia="仿宋" w:cs="仿宋"/>
          <w:b/>
          <w:bCs/>
          <w:color w:val="666666"/>
          <w:sz w:val="30"/>
          <w:szCs w:val="30"/>
          <w:shd w:val="clear" w:color="auto" w:fill="FFFFFF"/>
        </w:rPr>
      </w:pPr>
    </w:p>
    <w:p>
      <w:pPr>
        <w:pStyle w:val="11"/>
        <w:spacing w:beforeAutospacing="0" w:afterAutospacing="0" w:line="360" w:lineRule="auto"/>
        <w:textAlignment w:val="baseline"/>
        <w:rPr>
          <w:rFonts w:hint="eastAsia" w:ascii="仿宋" w:hAnsi="仿宋" w:eastAsia="仿宋" w:cs="仿宋"/>
          <w:b/>
          <w:bCs/>
          <w:color w:val="666666"/>
          <w:sz w:val="30"/>
          <w:szCs w:val="30"/>
          <w:shd w:val="clear" w:color="auto" w:fill="FFFFFF"/>
        </w:rPr>
      </w:pPr>
    </w:p>
    <w:p>
      <w:pPr>
        <w:pStyle w:val="11"/>
        <w:spacing w:beforeAutospacing="0" w:afterAutospacing="0" w:line="360" w:lineRule="auto"/>
        <w:textAlignment w:val="baseline"/>
        <w:rPr>
          <w:rFonts w:hint="eastAsia" w:ascii="仿宋" w:hAnsi="仿宋" w:eastAsia="仿宋" w:cs="仿宋"/>
          <w:b/>
          <w:bCs/>
          <w:color w:val="666666"/>
          <w:sz w:val="30"/>
          <w:szCs w:val="30"/>
          <w:shd w:val="clear" w:color="auto" w:fill="FFFFFF"/>
        </w:rPr>
      </w:pPr>
    </w:p>
    <w:p>
      <w:pPr>
        <w:pStyle w:val="11"/>
        <w:spacing w:beforeAutospacing="0" w:afterAutospacing="0" w:line="360" w:lineRule="auto"/>
        <w:textAlignment w:val="baseline"/>
        <w:rPr>
          <w:rFonts w:hint="eastAsia" w:ascii="仿宋" w:hAnsi="仿宋" w:eastAsia="仿宋" w:cs="仿宋"/>
          <w:b/>
          <w:bCs/>
          <w:color w:val="666666"/>
          <w:sz w:val="30"/>
          <w:szCs w:val="30"/>
          <w:shd w:val="clear" w:color="auto" w:fill="FFFFFF"/>
        </w:rPr>
      </w:pPr>
    </w:p>
    <w:p>
      <w:pPr>
        <w:pStyle w:val="11"/>
        <w:spacing w:beforeAutospacing="0" w:afterAutospacing="0" w:line="360" w:lineRule="auto"/>
        <w:textAlignment w:val="baseline"/>
        <w:rPr>
          <w:rFonts w:hint="eastAsia" w:ascii="仿宋" w:hAnsi="仿宋" w:eastAsia="仿宋" w:cs="仿宋"/>
          <w:b/>
          <w:bCs/>
          <w:color w:val="666666"/>
          <w:sz w:val="30"/>
          <w:szCs w:val="30"/>
          <w:shd w:val="clear" w:color="auto" w:fill="FFFFFF"/>
        </w:rPr>
      </w:pPr>
    </w:p>
    <w:p>
      <w:pPr>
        <w:pStyle w:val="11"/>
        <w:spacing w:beforeAutospacing="0" w:afterAutospacing="0" w:line="360" w:lineRule="auto"/>
        <w:textAlignment w:val="baseline"/>
        <w:rPr>
          <w:rFonts w:hint="eastAsia" w:ascii="仿宋" w:hAnsi="仿宋" w:eastAsia="仿宋" w:cs="仿宋"/>
          <w:b/>
          <w:bCs/>
          <w:color w:val="666666"/>
          <w:sz w:val="30"/>
          <w:szCs w:val="30"/>
          <w:shd w:val="clear" w:color="auto" w:fill="FFFFFF"/>
        </w:rPr>
      </w:pPr>
    </w:p>
    <w:p>
      <w:pPr>
        <w:pStyle w:val="11"/>
        <w:spacing w:beforeAutospacing="0" w:afterAutospacing="0" w:line="360" w:lineRule="auto"/>
        <w:textAlignment w:val="baseline"/>
        <w:rPr>
          <w:rFonts w:hint="eastAsia" w:ascii="仿宋" w:hAnsi="仿宋" w:eastAsia="仿宋" w:cs="仿宋"/>
          <w:b/>
          <w:bCs/>
          <w:color w:val="666666"/>
          <w:sz w:val="30"/>
          <w:szCs w:val="30"/>
          <w:shd w:val="clear" w:color="auto" w:fill="FFFFFF"/>
        </w:rPr>
      </w:pPr>
    </w:p>
    <w:p>
      <w:pPr>
        <w:jc w:val="both"/>
        <w:rPr>
          <w:rFonts w:hint="eastAsia" w:ascii="仿宋" w:hAnsi="仿宋" w:eastAsia="仿宋" w:cs="仿宋"/>
          <w:b/>
          <w:bCs/>
          <w:color w:val="666666"/>
          <w:sz w:val="30"/>
          <w:szCs w:val="30"/>
          <w:shd w:val="clear" w:color="auto" w:fill="FFFFFF"/>
          <w:lang w:bidi="ar"/>
        </w:rPr>
      </w:pPr>
    </w:p>
    <w:p>
      <w:pPr>
        <w:jc w:val="both"/>
        <w:rPr>
          <w:rFonts w:hint="eastAsia" w:ascii="仿宋" w:hAnsi="仿宋" w:eastAsia="仿宋" w:cs="仿宋"/>
          <w:b/>
          <w:bCs/>
          <w:color w:val="666666"/>
          <w:sz w:val="30"/>
          <w:szCs w:val="30"/>
          <w:shd w:val="clear" w:color="auto" w:fill="FFFFFF"/>
          <w:lang w:bidi="ar"/>
        </w:rPr>
      </w:pPr>
    </w:p>
    <w:p>
      <w:pPr>
        <w:jc w:val="both"/>
        <w:rPr>
          <w:rFonts w:hint="eastAsia" w:ascii="仿宋" w:hAnsi="仿宋" w:eastAsia="仿宋" w:cs="仿宋"/>
          <w:b/>
          <w:bCs/>
          <w:color w:val="666666"/>
          <w:sz w:val="30"/>
          <w:szCs w:val="30"/>
          <w:shd w:val="clear" w:color="auto" w:fill="FFFFFF"/>
          <w:lang w:bidi="ar"/>
        </w:rPr>
      </w:pPr>
    </w:p>
    <w:p>
      <w:pPr>
        <w:jc w:val="both"/>
        <w:rPr>
          <w:rFonts w:hint="eastAsia" w:ascii="仿宋" w:hAnsi="仿宋" w:eastAsia="仿宋" w:cs="仿宋"/>
          <w:b/>
          <w:bCs/>
          <w:color w:val="666666"/>
          <w:sz w:val="30"/>
          <w:szCs w:val="30"/>
          <w:shd w:val="clear" w:color="auto" w:fill="FFFFFF"/>
          <w:lang w:bidi="ar"/>
        </w:rPr>
      </w:pPr>
    </w:p>
    <w:p>
      <w:pPr>
        <w:pStyle w:val="5"/>
        <w:ind w:left="0" w:leftChars="0" w:firstLine="0" w:firstLineChars="0"/>
      </w:pP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1BA7C84"/>
    <w:rsid w:val="00021A45"/>
    <w:rsid w:val="00223EBC"/>
    <w:rsid w:val="002C4E83"/>
    <w:rsid w:val="002E253D"/>
    <w:rsid w:val="00311208"/>
    <w:rsid w:val="0034318D"/>
    <w:rsid w:val="00362F0B"/>
    <w:rsid w:val="003905AB"/>
    <w:rsid w:val="003E4B22"/>
    <w:rsid w:val="00436D8C"/>
    <w:rsid w:val="00537F57"/>
    <w:rsid w:val="0061327A"/>
    <w:rsid w:val="00624A4F"/>
    <w:rsid w:val="006C1F28"/>
    <w:rsid w:val="006F2FC6"/>
    <w:rsid w:val="007233FC"/>
    <w:rsid w:val="007264C3"/>
    <w:rsid w:val="007E1F66"/>
    <w:rsid w:val="00824069"/>
    <w:rsid w:val="00934736"/>
    <w:rsid w:val="00976529"/>
    <w:rsid w:val="00B242F6"/>
    <w:rsid w:val="00B56084"/>
    <w:rsid w:val="00C550A5"/>
    <w:rsid w:val="00D5211F"/>
    <w:rsid w:val="00DC4DD9"/>
    <w:rsid w:val="00E352BF"/>
    <w:rsid w:val="00E55B6F"/>
    <w:rsid w:val="00EC1806"/>
    <w:rsid w:val="00F553C4"/>
    <w:rsid w:val="00FB52AA"/>
    <w:rsid w:val="00FB7C67"/>
    <w:rsid w:val="00FD0171"/>
    <w:rsid w:val="042E6D1A"/>
    <w:rsid w:val="046F1FA3"/>
    <w:rsid w:val="04B4090C"/>
    <w:rsid w:val="07F64558"/>
    <w:rsid w:val="09701BFE"/>
    <w:rsid w:val="0A037876"/>
    <w:rsid w:val="0B5B1AAE"/>
    <w:rsid w:val="0BB93FD0"/>
    <w:rsid w:val="0D3E0D3D"/>
    <w:rsid w:val="0D6F1D69"/>
    <w:rsid w:val="0F0079FF"/>
    <w:rsid w:val="0F374490"/>
    <w:rsid w:val="0F5C24B4"/>
    <w:rsid w:val="11040E28"/>
    <w:rsid w:val="11326859"/>
    <w:rsid w:val="115E2D6B"/>
    <w:rsid w:val="11D1502A"/>
    <w:rsid w:val="12584586"/>
    <w:rsid w:val="127C1E80"/>
    <w:rsid w:val="1340660F"/>
    <w:rsid w:val="13C16602"/>
    <w:rsid w:val="17234412"/>
    <w:rsid w:val="182C3CBB"/>
    <w:rsid w:val="1AFA6FA9"/>
    <w:rsid w:val="1B9F47A0"/>
    <w:rsid w:val="1C8A7F7D"/>
    <w:rsid w:val="1E7C48DC"/>
    <w:rsid w:val="1F125082"/>
    <w:rsid w:val="1F9A6BBC"/>
    <w:rsid w:val="21155149"/>
    <w:rsid w:val="222F5B53"/>
    <w:rsid w:val="25865D3E"/>
    <w:rsid w:val="263F407E"/>
    <w:rsid w:val="26AF6C1E"/>
    <w:rsid w:val="26B7766A"/>
    <w:rsid w:val="27112F7C"/>
    <w:rsid w:val="27B20F5C"/>
    <w:rsid w:val="27C07800"/>
    <w:rsid w:val="28CF486D"/>
    <w:rsid w:val="2F610A6A"/>
    <w:rsid w:val="31BA7C84"/>
    <w:rsid w:val="32136F05"/>
    <w:rsid w:val="33DE1E44"/>
    <w:rsid w:val="364B2F27"/>
    <w:rsid w:val="36A10E37"/>
    <w:rsid w:val="374B77AD"/>
    <w:rsid w:val="38AC0BDF"/>
    <w:rsid w:val="391E32E9"/>
    <w:rsid w:val="3A8B49AE"/>
    <w:rsid w:val="3A9453E8"/>
    <w:rsid w:val="3B4E6CD0"/>
    <w:rsid w:val="3B532FA0"/>
    <w:rsid w:val="3B6C495E"/>
    <w:rsid w:val="3CE93EFA"/>
    <w:rsid w:val="3D121D87"/>
    <w:rsid w:val="410A6C5F"/>
    <w:rsid w:val="4164322B"/>
    <w:rsid w:val="43BF634B"/>
    <w:rsid w:val="45517FA3"/>
    <w:rsid w:val="46426D4A"/>
    <w:rsid w:val="472253E6"/>
    <w:rsid w:val="4D1B2F97"/>
    <w:rsid w:val="4D370022"/>
    <w:rsid w:val="51251D71"/>
    <w:rsid w:val="53516175"/>
    <w:rsid w:val="54AC78B3"/>
    <w:rsid w:val="56397554"/>
    <w:rsid w:val="57326A4C"/>
    <w:rsid w:val="58D07B0F"/>
    <w:rsid w:val="5B356C0F"/>
    <w:rsid w:val="600A215C"/>
    <w:rsid w:val="623A0335"/>
    <w:rsid w:val="64942605"/>
    <w:rsid w:val="65F272D1"/>
    <w:rsid w:val="67D43593"/>
    <w:rsid w:val="6802220A"/>
    <w:rsid w:val="682267BB"/>
    <w:rsid w:val="6BFF6CF6"/>
    <w:rsid w:val="6E256F74"/>
    <w:rsid w:val="701C4B60"/>
    <w:rsid w:val="72951FA0"/>
    <w:rsid w:val="76156B1B"/>
    <w:rsid w:val="770D52BE"/>
    <w:rsid w:val="79F23E6F"/>
    <w:rsid w:val="7B2F4CA5"/>
    <w:rsid w:val="7BCF7DED"/>
    <w:rsid w:val="7BFF6EB5"/>
    <w:rsid w:val="7C520042"/>
    <w:rsid w:val="7D8B1768"/>
    <w:rsid w:val="7DC63A44"/>
    <w:rsid w:val="7E8C1368"/>
    <w:rsid w:val="7F270F15"/>
    <w:rsid w:val="7F4D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78" w:lineRule="auto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5">
    <w:name w:val="Default Paragraph Font"/>
    <w:unhideWhenUsed/>
    <w:uiPriority w:val="1"/>
  </w:style>
  <w:style w:type="table" w:default="1" w:styleId="13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5">
    <w:name w:val="Normal Indent"/>
    <w:basedOn w:val="1"/>
    <w:next w:val="1"/>
    <w:qFormat/>
    <w:uiPriority w:val="0"/>
    <w:pPr>
      <w:tabs>
        <w:tab w:val="left" w:pos="112"/>
      </w:tabs>
      <w:spacing w:line="300" w:lineRule="auto"/>
      <w:ind w:firstLine="420"/>
      <w:textAlignment w:val="top"/>
    </w:pPr>
    <w:rPr>
      <w:rFonts w:ascii="宋体"/>
      <w:sz w:val="28"/>
      <w:szCs w:val="20"/>
    </w:rPr>
  </w:style>
  <w:style w:type="paragraph" w:styleId="6">
    <w:name w:val="toa heading"/>
    <w:basedOn w:val="1"/>
    <w:next w:val="1"/>
    <w:qFormat/>
    <w:uiPriority w:val="0"/>
    <w:pPr>
      <w:spacing w:before="120"/>
    </w:pPr>
    <w:rPr>
      <w:rFonts w:ascii="Cambria" w:hAnsi="Cambria" w:eastAsia="仿宋"/>
      <w:sz w:val="28"/>
      <w:szCs w:val="24"/>
    </w:rPr>
  </w:style>
  <w:style w:type="paragraph" w:styleId="7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9">
    <w:name w:val="header"/>
    <w:basedOn w:val="1"/>
    <w:link w:val="20"/>
    <w:qFormat/>
    <w:uiPriority w:val="0"/>
    <w:pP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0"/>
    <w:pPr>
      <w:tabs>
        <w:tab w:val="right" w:leader="dot" w:pos="9071"/>
      </w:tabs>
      <w:spacing w:before="50" w:beforeLines="50" w:line="400" w:lineRule="exact"/>
      <w:textAlignment w:val="baseline"/>
    </w:pPr>
    <w:rPr>
      <w:rFonts w:eastAsia="仿宋_GB2312"/>
      <w:b/>
      <w:sz w:val="28"/>
      <w:szCs w:val="20"/>
    </w:rPr>
  </w:style>
  <w:style w:type="paragraph" w:styleId="11">
    <w:name w:val="Normal (Web)"/>
    <w:basedOn w:val="1"/>
    <w:qFormat/>
    <w:uiPriority w:val="0"/>
    <w:pPr>
      <w:spacing w:beforeAutospacing="1" w:after="0" w:afterAutospacing="1"/>
    </w:pPr>
    <w:rPr>
      <w:sz w:val="24"/>
    </w:rPr>
  </w:style>
  <w:style w:type="paragraph" w:styleId="12">
    <w:name w:val="Body Text First Indent 2"/>
    <w:basedOn w:val="7"/>
    <w:next w:val="5"/>
    <w:qFormat/>
    <w:uiPriority w:val="0"/>
    <w:pPr>
      <w:ind w:firstLine="420" w:firstLineChars="200"/>
    </w:p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  <w:bCs/>
    </w:rPr>
  </w:style>
  <w:style w:type="character" w:styleId="17">
    <w:name w:val="page number"/>
    <w:basedOn w:val="15"/>
    <w:qFormat/>
    <w:uiPriority w:val="0"/>
  </w:style>
  <w:style w:type="paragraph" w:customStyle="1" w:styleId="18">
    <w:name w:val="正文_1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9">
    <w:name w:val="列表段落1"/>
    <w:basedOn w:val="1"/>
    <w:qFormat/>
    <w:uiPriority w:val="99"/>
    <w:pPr>
      <w:ind w:firstLine="420" w:firstLineChars="200"/>
    </w:pPr>
  </w:style>
  <w:style w:type="character" w:customStyle="1" w:styleId="20">
    <w:name w:val="页眉 字符"/>
    <w:basedOn w:val="15"/>
    <w:link w:val="9"/>
    <w:qFormat/>
    <w:uiPriority w:val="0"/>
    <w:rPr>
      <w:rFonts w:ascii="Tahoma" w:hAnsi="Tahoma" w:eastAsia="微软雅黑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974</Words>
  <Characters>5555</Characters>
  <Lines>46</Lines>
  <Paragraphs>13</Paragraphs>
  <TotalTime>64</TotalTime>
  <ScaleCrop>false</ScaleCrop>
  <LinksUpToDate>false</LinksUpToDate>
  <CharactersWithSpaces>6516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2026-08-21T04:33:00Z</dcterms:created>
  <dc:creator>Administrator</dc:creator>
  <cp:lastModifiedBy>HONOR</cp:lastModifiedBy>
  <cp:lastPrinted>2026-04-16T03:39:00Z</cp:lastPrinted>
  <dcterms:modified xsi:type="dcterms:W3CDTF">2026-08-24T09:01:24Z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KSOTemplateDocerSaveRecord">
    <vt:lpwstr>eyJoZGlkIjoiZWVhYjE2OTQ5M2IzNDgyMGFhY2NlMGJiNTdlYjM4M2IiLCJ1c2VySWQiOiIyODYyMzkzMjAifQ==</vt:lpwstr>
  </property>
  <property fmtid="{D5CDD505-2E9C-101B-9397-08002B2CF9AE}" pid="4" name="ICV">
    <vt:lpwstr>E9B7EF1B115C496FA18319DAB997A108</vt:lpwstr>
  </property>
</Properties>
</file>