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964" w:firstLineChars="300"/>
        <w:jc w:val="both"/>
        <w:textAlignment w:val="auto"/>
        <w:rPr>
          <w:rFonts w:hint="eastAsia" w:ascii="思源黑体 CN Medium" w:hAnsi="思源黑体 CN Medium" w:eastAsia="思源黑体 CN Medium" w:cs="思源黑体 CN Medium"/>
          <w:sz w:val="21"/>
          <w:szCs w:val="21"/>
          <w:lang w:eastAsia="zh-CN"/>
        </w:rPr>
      </w:pPr>
      <w:bookmarkStart w:id="0" w:name="_GoBack"/>
      <w:r>
        <w:rPr>
          <w:rFonts w:hint="eastAsia" w:ascii="思源黑体 CN Heavy" w:hAnsi="思源黑体 CN Heavy" w:eastAsia="思源黑体 CN Heavy" w:cs="思源黑体 CN Heavy"/>
          <w:b/>
          <w:bCs/>
          <w:color w:val="000000"/>
          <w:kern w:val="2"/>
          <w:sz w:val="32"/>
          <w:szCs w:val="32"/>
          <w:lang w:val="en-US" w:eastAsia="zh-CN" w:bidi="ar-SA"/>
        </w:rPr>
        <w:t>宫腔镜及配套手术器械</w:t>
      </w:r>
      <w:bookmarkEnd w:id="0"/>
      <w:r>
        <w:rPr>
          <w:rFonts w:hint="eastAsia" w:ascii="思源黑体 CN Heavy" w:hAnsi="思源黑体 CN Heavy" w:eastAsia="思源黑体 CN Heavy" w:cs="思源黑体 CN Heavy"/>
          <w:b/>
          <w:bCs/>
          <w:color w:val="000000"/>
          <w:kern w:val="2"/>
          <w:sz w:val="32"/>
          <w:szCs w:val="32"/>
          <w:lang w:val="en-US" w:eastAsia="zh-CN" w:bidi="ar-SA"/>
        </w:rPr>
        <w:t>采购需求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一、宫腔镜技术参数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用于宫腔检查、宫腔疾病的治疗，通过实现宫腔镜手术器械巨型化以完成有困难的手术检查和治疗，如子宫纵膈、子宫肌瘤、宫腔息肉、宫腔粘连以及异物嵌顿或</w:t>
      </w:r>
      <w:r>
        <w:rPr>
          <w:rFonts w:hint="eastAsia" w:ascii="仿宋" w:hAnsi="仿宋" w:eastAsia="仿宋" w:cs="仿宋"/>
          <w:i w:val="0"/>
          <w:caps w:val="0"/>
          <w:color w:val="666666"/>
          <w:spacing w:val="0"/>
          <w:sz w:val="30"/>
          <w:szCs w:val="30"/>
          <w:shd w:val="clear" w:fill="FFFFFF"/>
          <w:vertAlign w:val="baseline"/>
          <w:lang w:val="en-US" w:eastAsia="zh-CN"/>
        </w:rPr>
        <w:t>胚胎</w:t>
      </w:r>
      <w:r>
        <w:rPr>
          <w:rFonts w:hint="eastAsia" w:ascii="仿宋" w:hAnsi="仿宋" w:eastAsia="仿宋" w:cs="仿宋"/>
          <w:i w:val="0"/>
          <w:caps w:val="0"/>
          <w:color w:val="666666"/>
          <w:spacing w:val="0"/>
          <w:sz w:val="30"/>
          <w:szCs w:val="30"/>
          <w:shd w:val="clear" w:fill="FFFFFF"/>
          <w:vertAlign w:val="baseline"/>
        </w:rPr>
        <w:t>残留取出等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▲平行视野</w:t>
      </w:r>
      <w:r>
        <w:rPr>
          <w:rFonts w:hint="eastAsia" w:ascii="仿宋" w:hAnsi="仿宋" w:eastAsia="仿宋" w:cs="仿宋"/>
          <w:i w:val="0"/>
          <w:caps w:val="0"/>
          <w:color w:val="666666"/>
          <w:spacing w:val="0"/>
          <w:sz w:val="30"/>
          <w:szCs w:val="30"/>
          <w:shd w:val="clear" w:fill="FFFFFF"/>
          <w:vertAlign w:val="baseline"/>
          <w:lang w:eastAsia="zh-CN"/>
        </w:rPr>
        <w:t>Ｚ</w:t>
      </w:r>
      <w:r>
        <w:rPr>
          <w:rFonts w:hint="eastAsia" w:ascii="仿宋" w:hAnsi="仿宋" w:eastAsia="仿宋" w:cs="仿宋"/>
          <w:i w:val="0"/>
          <w:caps w:val="0"/>
          <w:color w:val="666666"/>
          <w:spacing w:val="0"/>
          <w:sz w:val="30"/>
          <w:szCs w:val="30"/>
          <w:shd w:val="clear" w:fill="FFFFFF"/>
          <w:vertAlign w:val="baseline"/>
          <w:lang w:val="en-US" w:eastAsia="zh-CN"/>
        </w:rPr>
        <w:t>型</w:t>
      </w:r>
      <w:r>
        <w:rPr>
          <w:rFonts w:hint="eastAsia" w:ascii="仿宋" w:hAnsi="仿宋" w:eastAsia="仿宋" w:cs="仿宋"/>
          <w:i w:val="0"/>
          <w:caps w:val="0"/>
          <w:color w:val="666666"/>
          <w:spacing w:val="0"/>
          <w:sz w:val="30"/>
          <w:szCs w:val="30"/>
          <w:shd w:val="clear" w:fill="FFFFFF"/>
          <w:vertAlign w:val="baseline"/>
        </w:rPr>
        <w:t>宫腔镜，视</w:t>
      </w:r>
      <w:r>
        <w:rPr>
          <w:rFonts w:hint="eastAsia" w:ascii="仿宋" w:hAnsi="仿宋" w:eastAsia="仿宋" w:cs="仿宋"/>
          <w:i w:val="0"/>
          <w:caps w:val="0"/>
          <w:color w:val="666666"/>
          <w:spacing w:val="0"/>
          <w:sz w:val="30"/>
          <w:szCs w:val="30"/>
          <w:shd w:val="clear" w:fill="FFFFFF"/>
          <w:vertAlign w:val="baseline"/>
          <w:lang w:val="en-US" w:eastAsia="zh-CN"/>
        </w:rPr>
        <w:t>向</w:t>
      </w:r>
      <w:r>
        <w:rPr>
          <w:rFonts w:hint="eastAsia" w:ascii="仿宋" w:hAnsi="仿宋" w:eastAsia="仿宋" w:cs="仿宋"/>
          <w:i w:val="0"/>
          <w:caps w:val="0"/>
          <w:color w:val="666666"/>
          <w:spacing w:val="0"/>
          <w:sz w:val="30"/>
          <w:szCs w:val="30"/>
          <w:shd w:val="clear" w:fill="FFFFFF"/>
          <w:vertAlign w:val="baseline"/>
        </w:rPr>
        <w:t>角</w:t>
      </w:r>
      <w:r>
        <w:rPr>
          <w:rFonts w:hint="eastAsia" w:ascii="仿宋" w:hAnsi="仿宋" w:eastAsia="仿宋" w:cs="仿宋"/>
          <w:i w:val="0"/>
          <w:caps w:val="0"/>
          <w:color w:val="666666"/>
          <w:spacing w:val="0"/>
          <w:sz w:val="30"/>
          <w:szCs w:val="30"/>
          <w:shd w:val="clear" w:fill="FFFFFF"/>
          <w:vertAlign w:val="baseline"/>
          <w:lang w:val="en-US" w:eastAsia="zh-CN"/>
        </w:rPr>
        <w:t>12°</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符合临床使用习惯（优于非平行视野的Ｙ型镜）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▲具有超广角视野，视场角≥</w:t>
      </w:r>
      <w:r>
        <w:rPr>
          <w:rFonts w:hint="eastAsia" w:ascii="仿宋" w:hAnsi="仿宋" w:eastAsia="仿宋" w:cs="仿宋"/>
          <w:i w:val="0"/>
          <w:caps w:val="0"/>
          <w:color w:val="666666"/>
          <w:spacing w:val="0"/>
          <w:sz w:val="30"/>
          <w:szCs w:val="30"/>
          <w:shd w:val="clear" w:fill="FFFFFF"/>
          <w:vertAlign w:val="baseline"/>
          <w:lang w:val="en-US" w:eastAsia="zh-CN"/>
        </w:rPr>
        <w:t>10</w:t>
      </w:r>
      <w:r>
        <w:rPr>
          <w:rFonts w:hint="eastAsia" w:ascii="仿宋" w:hAnsi="仿宋" w:eastAsia="仿宋" w:cs="仿宋"/>
          <w:i w:val="0"/>
          <w:caps w:val="0"/>
          <w:color w:val="666666"/>
          <w:spacing w:val="0"/>
          <w:sz w:val="30"/>
          <w:szCs w:val="30"/>
          <w:shd w:val="clear" w:fill="FFFFFF"/>
          <w:vertAlign w:val="baseline"/>
        </w:rPr>
        <w:t>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▲最佳镜体外观设计，符合人体工程学</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rPr>
        <w:t>方便握持，</w:t>
      </w:r>
      <w:r>
        <w:rPr>
          <w:rFonts w:hint="eastAsia" w:ascii="仿宋" w:hAnsi="仿宋" w:eastAsia="仿宋" w:cs="仿宋"/>
          <w:i w:val="0"/>
          <w:caps w:val="0"/>
          <w:color w:val="666666"/>
          <w:spacing w:val="0"/>
          <w:sz w:val="30"/>
          <w:szCs w:val="30"/>
          <w:shd w:val="clear" w:fill="FFFFFF"/>
          <w:vertAlign w:val="baseline"/>
          <w:lang w:val="en-US" w:eastAsia="zh-CN"/>
        </w:rPr>
        <w:t>Z型横杆与纵杆</w:t>
      </w:r>
      <w:r>
        <w:rPr>
          <w:rFonts w:hint="eastAsia" w:ascii="仿宋" w:hAnsi="仿宋" w:eastAsia="仿宋" w:cs="仿宋"/>
          <w:i w:val="0"/>
          <w:caps w:val="0"/>
          <w:color w:val="666666"/>
          <w:spacing w:val="0"/>
          <w:sz w:val="30"/>
          <w:szCs w:val="30"/>
          <w:shd w:val="clear" w:fill="FFFFFF"/>
          <w:vertAlign w:val="baseline"/>
        </w:rPr>
        <w:t>更短，</w:t>
      </w:r>
      <w:r>
        <w:rPr>
          <w:rFonts w:hint="eastAsia" w:ascii="仿宋" w:hAnsi="仿宋" w:eastAsia="仿宋" w:cs="仿宋"/>
          <w:i w:val="0"/>
          <w:caps w:val="0"/>
          <w:color w:val="666666"/>
          <w:spacing w:val="0"/>
          <w:sz w:val="30"/>
          <w:szCs w:val="30"/>
          <w:shd w:val="clear" w:fill="FFFFFF"/>
          <w:vertAlign w:val="baseline"/>
          <w:lang w:val="en-US" w:eastAsia="zh-CN"/>
        </w:rPr>
        <w:t>纵杆长度≤6.5cm，</w:t>
      </w:r>
      <w:r>
        <w:rPr>
          <w:rFonts w:hint="eastAsia" w:ascii="仿宋" w:hAnsi="仿宋" w:eastAsia="仿宋" w:cs="仿宋"/>
          <w:i w:val="0"/>
          <w:caps w:val="0"/>
          <w:color w:val="666666"/>
          <w:spacing w:val="0"/>
          <w:sz w:val="30"/>
          <w:szCs w:val="30"/>
          <w:shd w:val="clear" w:fill="FFFFFF"/>
          <w:vertAlign w:val="baseline"/>
        </w:rPr>
        <w:t>术中旋转镜子更省力，不易从宫腔内滑出，操作方便更安全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蓝宝石镜面，进口光学玻璃晶棒、光纤、光锥，柱状晶体排列技术，采用新型光学系统设计，高清分辨率，主镜工作长度≥200mm</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▲外</w:t>
      </w:r>
      <w:r>
        <w:rPr>
          <w:rFonts w:hint="eastAsia" w:ascii="仿宋" w:hAnsi="仿宋" w:eastAsia="仿宋" w:cs="仿宋"/>
          <w:i w:val="0"/>
          <w:caps w:val="0"/>
          <w:color w:val="666666"/>
          <w:spacing w:val="0"/>
          <w:sz w:val="30"/>
          <w:szCs w:val="30"/>
          <w:shd w:val="clear" w:fill="FFFFFF"/>
          <w:vertAlign w:val="baseline"/>
          <w:lang w:val="en-US" w:eastAsia="zh-CN"/>
        </w:rPr>
        <w:t>径</w:t>
      </w: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6.8mm/8.8mm</w:t>
      </w:r>
      <w:r>
        <w:rPr>
          <w:rFonts w:hint="eastAsia" w:ascii="仿宋" w:hAnsi="仿宋" w:eastAsia="仿宋" w:cs="仿宋"/>
          <w:i w:val="0"/>
          <w:caps w:val="0"/>
          <w:color w:val="666666"/>
          <w:spacing w:val="0"/>
          <w:sz w:val="30"/>
          <w:szCs w:val="30"/>
          <w:shd w:val="clear" w:fill="FFFFFF"/>
          <w:vertAlign w:val="baseline"/>
        </w:rPr>
        <w:t>，总体插入部外径较细，避免因外径过大，无法顺利通宫颈口的问题</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保护了子宫下端至宫颈内口位置的子宫内膜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eastAsia="zh-CN"/>
        </w:rPr>
        <w:t>视场中心角分辨力≥4.5C/(°)(此参数越大成像越清晰)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eastAsia="zh-CN"/>
        </w:rPr>
        <w:t>综合边缘光效SLe-Z≥0.4(此参数值越接近1越好)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eastAsia="zh-CN"/>
        </w:rPr>
        <w:t>单位相对畸变VU-Z的控制量≤15%</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目镜和器械通道呈平行型设计，保证摄像头获得视野角度即为实时角度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▲平行视野宫腔镜镜体具有</w:t>
      </w:r>
      <w:r>
        <w:rPr>
          <w:rFonts w:hint="eastAsia" w:ascii="仿宋" w:hAnsi="仿宋" w:eastAsia="仿宋" w:cs="仿宋"/>
          <w:i w:val="0"/>
          <w:caps w:val="0"/>
          <w:color w:val="666666"/>
          <w:spacing w:val="0"/>
          <w:sz w:val="30"/>
          <w:szCs w:val="30"/>
          <w:shd w:val="clear" w:fill="FFFFFF"/>
          <w:vertAlign w:val="baseline"/>
          <w:lang w:val="en-US" w:eastAsia="zh-CN"/>
        </w:rPr>
        <w:t>大于</w:t>
      </w:r>
      <w:r>
        <w:rPr>
          <w:rFonts w:hint="eastAsia" w:ascii="仿宋" w:hAnsi="仿宋" w:eastAsia="仿宋" w:cs="仿宋"/>
          <w:i w:val="0"/>
          <w:caps w:val="0"/>
          <w:color w:val="666666"/>
          <w:spacing w:val="0"/>
          <w:sz w:val="30"/>
          <w:szCs w:val="30"/>
          <w:shd w:val="clear" w:fill="FFFFFF"/>
          <w:vertAlign w:val="baseline"/>
        </w:rPr>
        <w:t>3mm</w:t>
      </w:r>
      <w:r>
        <w:rPr>
          <w:rFonts w:hint="eastAsia" w:ascii="仿宋" w:hAnsi="仿宋" w:eastAsia="仿宋" w:cs="仿宋"/>
          <w:i w:val="0"/>
          <w:caps w:val="0"/>
          <w:color w:val="666666"/>
          <w:spacing w:val="0"/>
          <w:sz w:val="30"/>
          <w:szCs w:val="30"/>
          <w:shd w:val="clear" w:fill="FFFFFF"/>
          <w:vertAlign w:val="baseline"/>
          <w:lang w:val="en-US" w:eastAsia="zh-CN"/>
        </w:rPr>
        <w:t>/4</w:t>
      </w:r>
      <w:r>
        <w:rPr>
          <w:rFonts w:hint="eastAsia" w:ascii="仿宋" w:hAnsi="仿宋" w:eastAsia="仿宋" w:cs="仿宋"/>
          <w:i w:val="0"/>
          <w:caps w:val="0"/>
          <w:color w:val="666666"/>
          <w:spacing w:val="0"/>
          <w:sz w:val="30"/>
          <w:szCs w:val="30"/>
          <w:shd w:val="clear" w:fill="FFFFFF"/>
          <w:vertAlign w:val="baseline"/>
        </w:rPr>
        <w:t>mm的器械通道，器械通道包含在镜体内</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rPr>
        <w:t>镜子手术器械通道≥3mm</w:t>
      </w:r>
      <w:r>
        <w:rPr>
          <w:rFonts w:hint="eastAsia" w:ascii="仿宋" w:hAnsi="仿宋" w:eastAsia="仿宋" w:cs="仿宋"/>
          <w:i w:val="0"/>
          <w:caps w:val="0"/>
          <w:color w:val="666666"/>
          <w:spacing w:val="0"/>
          <w:sz w:val="30"/>
          <w:szCs w:val="30"/>
          <w:shd w:val="clear" w:fill="FFFFFF"/>
          <w:vertAlign w:val="baseline"/>
          <w:lang w:val="en-US" w:eastAsia="zh-CN"/>
        </w:rPr>
        <w:t>/4mm</w:t>
      </w:r>
      <w:r>
        <w:rPr>
          <w:rFonts w:hint="eastAsia" w:ascii="仿宋" w:hAnsi="仿宋" w:eastAsia="仿宋" w:cs="仿宋"/>
          <w:i w:val="0"/>
          <w:caps w:val="0"/>
          <w:color w:val="666666"/>
          <w:spacing w:val="0"/>
          <w:sz w:val="30"/>
          <w:szCs w:val="30"/>
          <w:shd w:val="clear" w:fill="FFFFFF"/>
          <w:vertAlign w:val="baseline"/>
        </w:rPr>
        <w:t>，注液通道孔径≥1.0mm</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▲器械通道入口采用喇叭口设计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▲密封帽内置设计，双层医用硅胶装置自动闭合，无需单独开关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器械通道无磁片设计，避免影响</w:t>
      </w:r>
      <w:r>
        <w:rPr>
          <w:rFonts w:hint="eastAsia" w:ascii="仿宋" w:hAnsi="仿宋" w:eastAsia="仿宋" w:cs="仿宋"/>
          <w:i w:val="0"/>
          <w:caps w:val="0"/>
          <w:color w:val="666666"/>
          <w:spacing w:val="0"/>
          <w:sz w:val="30"/>
          <w:szCs w:val="30"/>
          <w:shd w:val="clear" w:fill="FFFFFF"/>
          <w:vertAlign w:val="baseline"/>
        </w:rPr>
        <w:t>输卵管疏通导丝等术中耗材</w:t>
      </w:r>
      <w:r>
        <w:rPr>
          <w:rFonts w:hint="eastAsia" w:ascii="仿宋" w:hAnsi="仿宋" w:eastAsia="仿宋" w:cs="仿宋"/>
          <w:i w:val="0"/>
          <w:caps w:val="0"/>
          <w:color w:val="666666"/>
          <w:spacing w:val="0"/>
          <w:sz w:val="30"/>
          <w:szCs w:val="30"/>
          <w:shd w:val="clear" w:fill="FFFFFF"/>
          <w:vertAlign w:val="baseline"/>
          <w:lang w:val="en-US" w:eastAsia="zh-CN"/>
        </w:rPr>
        <w:t>通过</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且与手术器械紧密包裹，杜绝气泡进入宫腔</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▲可配备多种器械，至少包括圆头弯剪刀、尖头</w:t>
      </w:r>
      <w:r>
        <w:rPr>
          <w:rFonts w:hint="eastAsia" w:ascii="仿宋" w:hAnsi="仿宋" w:eastAsia="仿宋" w:cs="仿宋"/>
          <w:i w:val="0"/>
          <w:caps w:val="0"/>
          <w:color w:val="666666"/>
          <w:spacing w:val="0"/>
          <w:sz w:val="30"/>
          <w:szCs w:val="30"/>
          <w:shd w:val="clear" w:fill="FFFFFF"/>
          <w:vertAlign w:val="baseline"/>
          <w:lang w:val="en-US" w:eastAsia="zh-CN"/>
        </w:rPr>
        <w:t>单开</w:t>
      </w:r>
      <w:r>
        <w:rPr>
          <w:rFonts w:hint="eastAsia" w:ascii="仿宋" w:hAnsi="仿宋" w:eastAsia="仿宋" w:cs="仿宋"/>
          <w:i w:val="0"/>
          <w:caps w:val="0"/>
          <w:color w:val="666666"/>
          <w:spacing w:val="0"/>
          <w:sz w:val="30"/>
          <w:szCs w:val="30"/>
          <w:shd w:val="clear" w:fill="FFFFFF"/>
          <w:vertAlign w:val="baseline"/>
        </w:rPr>
        <w:t>直剪刀、尖头双开</w:t>
      </w:r>
      <w:r>
        <w:rPr>
          <w:rFonts w:hint="eastAsia" w:ascii="仿宋" w:hAnsi="仿宋" w:eastAsia="仿宋" w:cs="仿宋"/>
          <w:i w:val="0"/>
          <w:caps w:val="0"/>
          <w:color w:val="666666"/>
          <w:spacing w:val="0"/>
          <w:sz w:val="30"/>
          <w:szCs w:val="30"/>
          <w:shd w:val="clear" w:fill="FFFFFF"/>
          <w:vertAlign w:val="baseline"/>
          <w:lang w:val="en-US" w:eastAsia="zh-CN"/>
        </w:rPr>
        <w:t>直</w:t>
      </w:r>
      <w:r>
        <w:rPr>
          <w:rFonts w:hint="eastAsia" w:ascii="仿宋" w:hAnsi="仿宋" w:eastAsia="仿宋" w:cs="仿宋"/>
          <w:i w:val="0"/>
          <w:caps w:val="0"/>
          <w:color w:val="666666"/>
          <w:spacing w:val="0"/>
          <w:sz w:val="30"/>
          <w:szCs w:val="30"/>
          <w:shd w:val="clear" w:fill="FFFFFF"/>
          <w:vertAlign w:val="baseline"/>
        </w:rPr>
        <w:t>剪刀、微型钩剪刀、弯分离钳、活检钳</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rPr>
        <w:t>重型抓钳、大型抓钳等</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各类</w:t>
      </w:r>
      <w:r>
        <w:rPr>
          <w:rFonts w:hint="eastAsia" w:ascii="仿宋" w:hAnsi="仿宋" w:eastAsia="仿宋" w:cs="仿宋"/>
          <w:i w:val="0"/>
          <w:caps w:val="0"/>
          <w:color w:val="666666"/>
          <w:spacing w:val="0"/>
          <w:sz w:val="30"/>
          <w:szCs w:val="30"/>
          <w:shd w:val="clear" w:fill="FFFFFF"/>
          <w:vertAlign w:val="baseline"/>
        </w:rPr>
        <w:t>手术器械工作长度360mm，360°可旋转手柄</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工作头部</w:t>
      </w:r>
      <w:r>
        <w:rPr>
          <w:rFonts w:hint="eastAsia" w:ascii="仿宋" w:hAnsi="仿宋" w:eastAsia="仿宋" w:cs="仿宋"/>
          <w:i w:val="0"/>
          <w:caps w:val="0"/>
          <w:color w:val="666666"/>
          <w:spacing w:val="0"/>
          <w:sz w:val="30"/>
          <w:szCs w:val="30"/>
          <w:shd w:val="clear" w:fill="FFFFFF"/>
          <w:vertAlign w:val="baseline"/>
        </w:rPr>
        <w:t>外径3mm</w:t>
      </w:r>
      <w:r>
        <w:rPr>
          <w:rFonts w:hint="eastAsia" w:ascii="仿宋" w:hAnsi="仿宋" w:eastAsia="仿宋" w:cs="仿宋"/>
          <w:i w:val="0"/>
          <w:caps w:val="0"/>
          <w:color w:val="666666"/>
          <w:spacing w:val="0"/>
          <w:sz w:val="30"/>
          <w:szCs w:val="30"/>
          <w:shd w:val="clear" w:fill="FFFFFF"/>
          <w:vertAlign w:val="baseline"/>
          <w:lang w:val="en-US" w:eastAsia="zh-CN"/>
        </w:rPr>
        <w:t>/4mm，具备</w:t>
      </w:r>
      <w:r>
        <w:rPr>
          <w:rFonts w:hint="eastAsia" w:ascii="仿宋" w:hAnsi="仿宋" w:eastAsia="仿宋" w:cs="仿宋"/>
          <w:i w:val="0"/>
          <w:caps w:val="0"/>
          <w:color w:val="666666"/>
          <w:spacing w:val="0"/>
          <w:sz w:val="30"/>
          <w:szCs w:val="30"/>
          <w:shd w:val="clear" w:fill="FFFFFF"/>
          <w:vertAlign w:val="baseline"/>
        </w:rPr>
        <w:t>更有力</w:t>
      </w:r>
      <w:r>
        <w:rPr>
          <w:rFonts w:hint="eastAsia" w:ascii="仿宋" w:hAnsi="仿宋" w:eastAsia="仿宋" w:cs="仿宋"/>
          <w:i w:val="0"/>
          <w:caps w:val="0"/>
          <w:color w:val="666666"/>
          <w:spacing w:val="0"/>
          <w:sz w:val="30"/>
          <w:szCs w:val="30"/>
          <w:shd w:val="clear" w:fill="FFFFFF"/>
          <w:vertAlign w:val="baseline"/>
          <w:lang w:val="en-US" w:eastAsia="zh-CN"/>
        </w:rPr>
        <w:t>的操作</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头部精雕设计，无外露关节，保证操作视野不受影响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手术器械最小化三拆卸设计（手柄、钳杆、钳芯）符合内窥镜手术器械清洗灭菌要求，清洗更容易，消毒灭菌更彻底，易损件更换成本更低。可低温等离子、高温高压消毒，避免因消毒不彻底而造成术中感染</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zh-CN" w:eastAsia="zh-CN"/>
        </w:rPr>
      </w:pP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产品符合医疗器械国家标准GB9706.1-2020、GB9706.218-2021中规定的要求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▲可耐高温高压消毒，镜体密封性好，内镜上标有可耐压力蒸汽灭菌（Autoclav</w:t>
      </w:r>
      <w:r>
        <w:rPr>
          <w:rFonts w:hint="eastAsia" w:ascii="仿宋" w:hAnsi="仿宋" w:eastAsia="仿宋" w:cs="仿宋"/>
          <w:i w:val="0"/>
          <w:caps w:val="0"/>
          <w:color w:val="666666"/>
          <w:spacing w:val="0"/>
          <w:sz w:val="30"/>
          <w:szCs w:val="30"/>
          <w:shd w:val="clear" w:fill="FFFFFF"/>
          <w:vertAlign w:val="baseline"/>
          <w:lang w:val="en-US" w:eastAsia="zh-CN"/>
        </w:rPr>
        <w:t>e</w:t>
      </w:r>
      <w:r>
        <w:rPr>
          <w:rFonts w:hint="eastAsia" w:ascii="仿宋" w:hAnsi="仿宋" w:eastAsia="仿宋" w:cs="仿宋"/>
          <w:i w:val="0"/>
          <w:caps w:val="0"/>
          <w:color w:val="666666"/>
          <w:spacing w:val="0"/>
          <w:sz w:val="30"/>
          <w:szCs w:val="30"/>
          <w:shd w:val="clear" w:fill="FFFFFF"/>
          <w:vertAlign w:val="baseline"/>
        </w:rPr>
        <w:t>）标识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宫腔镜与摄像主机为同一品牌，光路入瞳位置与摄像系统更加匹配，获得最佳手术视野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val="en-US" w:eastAsia="zh-CN"/>
        </w:rPr>
        <w:t>进出水高</w:t>
      </w:r>
      <w:r>
        <w:rPr>
          <w:rFonts w:hint="eastAsia" w:ascii="仿宋" w:hAnsi="仿宋" w:eastAsia="仿宋" w:cs="仿宋"/>
          <w:i w:val="0"/>
          <w:caps w:val="0"/>
          <w:color w:val="666666"/>
          <w:spacing w:val="0"/>
          <w:sz w:val="30"/>
          <w:szCs w:val="30"/>
          <w:shd w:val="clear" w:fill="FFFFFF"/>
          <w:vertAlign w:val="baseline"/>
        </w:rPr>
        <w:t>通量设计，持续对流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进出水口均在外鞘实现灌流循环，优于镜体内循环，水流量更大；进出水口</w:t>
      </w:r>
      <w:r>
        <w:rPr>
          <w:rFonts w:hint="eastAsia" w:ascii="仿宋" w:hAnsi="仿宋" w:eastAsia="仿宋" w:cs="仿宋"/>
          <w:i w:val="0"/>
          <w:caps w:val="0"/>
          <w:color w:val="666666"/>
          <w:spacing w:val="0"/>
          <w:sz w:val="30"/>
          <w:szCs w:val="30"/>
          <w:shd w:val="clear" w:fill="FFFFFF"/>
          <w:vertAlign w:val="baseline"/>
        </w:rPr>
        <w:t>可根据手术需求360度旋转， 防止进出水路管缠绕</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rPr>
        <w:t>方便手术操作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操作系统配备专用消毒盒</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配套手术器械注册证为宫腔镜配套手术器械，注册适用范围应为用于配合宫腔镜下宫腔内疾病的检查和治疗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二、配置清单</w:t>
      </w:r>
    </w:p>
    <w:tbl>
      <w:tblPr>
        <w:tblStyle w:val="9"/>
        <w:tblW w:w="8500" w:type="dxa"/>
        <w:jc w:val="center"/>
        <w:tblLayout w:type="fixed"/>
        <w:tblCellMar>
          <w:top w:w="0" w:type="dxa"/>
          <w:left w:w="108" w:type="dxa"/>
          <w:bottom w:w="0" w:type="dxa"/>
          <w:right w:w="108" w:type="dxa"/>
        </w:tblCellMar>
      </w:tblPr>
      <w:tblGrid>
        <w:gridCol w:w="1370"/>
        <w:gridCol w:w="3106"/>
        <w:gridCol w:w="1966"/>
        <w:gridCol w:w="2058"/>
      </w:tblGrid>
      <w:tr>
        <w:tblPrEx>
          <w:tblCellMar>
            <w:top w:w="0" w:type="dxa"/>
            <w:left w:w="108" w:type="dxa"/>
            <w:bottom w:w="0" w:type="dxa"/>
            <w:right w:w="108" w:type="dxa"/>
          </w:tblCellMar>
        </w:tblPrEx>
        <w:trPr>
          <w:trHeight w:val="285" w:hRule="atLeast"/>
          <w:jc w:val="center"/>
        </w:trPr>
        <w:tc>
          <w:tcPr>
            <w:tcW w:w="1370" w:type="dxa"/>
            <w:tcBorders>
              <w:top w:val="single" w:color="000000" w:sz="8" w:space="0"/>
              <w:left w:val="single" w:color="000000" w:sz="8" w:space="0"/>
              <w:bottom w:val="single" w:color="000000" w:sz="4" w:space="0"/>
              <w:right w:val="single" w:color="000000" w:sz="4" w:space="0"/>
            </w:tcBorders>
            <w:shd w:val="clear" w:color="auto" w:fill="BEBEBE" w:themeFill="background1" w:themeFillShade="BF"/>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3106" w:type="dxa"/>
            <w:tcBorders>
              <w:top w:val="single" w:color="000000" w:sz="8" w:space="0"/>
              <w:left w:val="single" w:color="000000" w:sz="4" w:space="0"/>
              <w:bottom w:val="single" w:color="000000" w:sz="4" w:space="0"/>
              <w:right w:val="single" w:color="000000" w:sz="4" w:space="0"/>
            </w:tcBorders>
            <w:shd w:val="clear" w:color="auto" w:fill="BEBEBE" w:themeFill="background1" w:themeFillShade="BF"/>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产品名称</w:t>
            </w:r>
          </w:p>
        </w:tc>
        <w:tc>
          <w:tcPr>
            <w:tcW w:w="1966" w:type="dxa"/>
            <w:tcBorders>
              <w:top w:val="single" w:color="000000" w:sz="8" w:space="0"/>
              <w:left w:val="single" w:color="000000" w:sz="4" w:space="0"/>
              <w:bottom w:val="single" w:color="000000" w:sz="4" w:space="0"/>
              <w:right w:val="single" w:color="000000" w:sz="8" w:space="0"/>
            </w:tcBorders>
            <w:shd w:val="clear" w:color="auto" w:fill="BEBEBE" w:themeFill="background1" w:themeFillShade="BF"/>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规格</w:t>
            </w:r>
          </w:p>
        </w:tc>
        <w:tc>
          <w:tcPr>
            <w:tcW w:w="2058" w:type="dxa"/>
            <w:tcBorders>
              <w:top w:val="single" w:color="000000" w:sz="8" w:space="0"/>
              <w:left w:val="single" w:color="000000" w:sz="4" w:space="0"/>
              <w:bottom w:val="single" w:color="000000" w:sz="4" w:space="0"/>
              <w:right w:val="single" w:color="000000" w:sz="8" w:space="0"/>
            </w:tcBorders>
            <w:shd w:val="clear" w:color="auto" w:fill="BEBEBE" w:themeFill="background1" w:themeFillShade="BF"/>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数量</w:t>
            </w:r>
          </w:p>
        </w:tc>
      </w:tr>
      <w:tr>
        <w:tblPrEx>
          <w:tblCellMar>
            <w:top w:w="0" w:type="dxa"/>
            <w:left w:w="108" w:type="dxa"/>
            <w:bottom w:w="0" w:type="dxa"/>
            <w:right w:w="108" w:type="dxa"/>
          </w:tblCellMar>
        </w:tblPrEx>
        <w:trPr>
          <w:trHeight w:val="273"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宫腔镜</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20.8Fr/12°</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（单开剪刀）</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（双开剪刀）</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(弯剪刀）</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（钩剪刀）</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（弯分离钳）</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（活检钳）</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（大型抓钳）</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（重型抓钳）</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高频手术电极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（钩状电极）</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高频手术电极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（棒状电极）</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Φ3*360</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273" w:hRule="atLeast"/>
          <w:jc w:val="center"/>
        </w:trPr>
        <w:tc>
          <w:tcPr>
            <w:tcW w:w="1370" w:type="dxa"/>
            <w:tcBorders>
              <w:top w:val="single" w:color="000000" w:sz="4" w:space="0"/>
              <w:left w:val="single" w:color="000000" w:sz="8"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000000" w:sz="4" w:space="0"/>
              <w:left w:val="single" w:color="000000" w:sz="4" w:space="0"/>
              <w:bottom w:val="single" w:color="000000" w:sz="4" w:space="0"/>
              <w:right w:val="single" w:color="000000"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专用内窥镜器械消毒盒</w:t>
            </w:r>
          </w:p>
        </w:tc>
        <w:tc>
          <w:tcPr>
            <w:tcW w:w="1966"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w:t>
            </w:r>
          </w:p>
        </w:tc>
        <w:tc>
          <w:tcPr>
            <w:tcW w:w="2058" w:type="dxa"/>
            <w:tcBorders>
              <w:top w:val="single" w:color="000000" w:sz="4" w:space="0"/>
              <w:left w:val="single" w:color="000000" w:sz="4" w:space="0"/>
              <w:bottom w:val="single" w:color="000000" w:sz="4" w:space="0"/>
              <w:right w:val="single" w:color="000000" w:sz="8"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273"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宫腔镜</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26Fr/12°</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273"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（单开剪刀）</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（双开剪刀）</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(弯剪刀）</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（钩剪刀）</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（弯分离钳）</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（活检钳）</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（大型抓钳）</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宫腔镜配套手术器械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（重型抓钳）</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高频手术电极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（钩状电极）</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536"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高频手术电极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default" w:ascii="仿宋" w:hAnsi="仿宋" w:eastAsia="仿宋" w:cs="仿宋"/>
                <w:i w:val="0"/>
                <w:caps w:val="0"/>
                <w:color w:val="666666"/>
                <w:spacing w:val="0"/>
                <w:sz w:val="30"/>
                <w:szCs w:val="30"/>
                <w:shd w:val="clear" w:fill="FFFFFF"/>
                <w:vertAlign w:val="baseline"/>
                <w:lang w:val="en-US" w:eastAsia="zh-CN"/>
              </w:rPr>
              <w:t>（棒状电极）</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Φ4*360</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r>
        <w:tblPrEx>
          <w:tblCellMar>
            <w:top w:w="0" w:type="dxa"/>
            <w:left w:w="108" w:type="dxa"/>
            <w:bottom w:w="0" w:type="dxa"/>
            <w:right w:w="108" w:type="dxa"/>
          </w:tblCellMar>
        </w:tblPrEx>
        <w:trPr>
          <w:trHeight w:val="285"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310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专用内窥镜器械消毒盒</w:t>
            </w:r>
          </w:p>
        </w:tc>
        <w:tc>
          <w:tcPr>
            <w:tcW w:w="196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w:t>
            </w:r>
          </w:p>
        </w:tc>
        <w:tc>
          <w:tcPr>
            <w:tcW w:w="2058"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1pc</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三、商务需求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1、</w:t>
      </w:r>
      <w:r>
        <w:rPr>
          <w:rFonts w:hint="eastAsia" w:ascii="仿宋" w:hAnsi="仿宋" w:eastAsia="仿宋" w:cs="仿宋"/>
          <w:i w:val="0"/>
          <w:caps w:val="0"/>
          <w:color w:val="666666"/>
          <w:spacing w:val="0"/>
          <w:sz w:val="30"/>
          <w:szCs w:val="30"/>
          <w:shd w:val="clear" w:fill="FFFFFF"/>
          <w:vertAlign w:val="baseline"/>
        </w:rPr>
        <w:t>售后服务</w:t>
      </w:r>
      <w:r>
        <w:rPr>
          <w:rFonts w:hint="eastAsia" w:ascii="仿宋" w:hAnsi="仿宋" w:eastAsia="仿宋" w:cs="仿宋"/>
          <w:i w:val="0"/>
          <w:caps w:val="0"/>
          <w:color w:val="666666"/>
          <w:spacing w:val="0"/>
          <w:sz w:val="30"/>
          <w:szCs w:val="30"/>
          <w:shd w:val="clear" w:fill="FFFFFF"/>
          <w:vertAlign w:val="baseline"/>
          <w:lang w:val="en-US" w:eastAsia="zh-CN"/>
        </w:rPr>
        <w:t>:</w:t>
      </w:r>
      <w:r>
        <w:rPr>
          <w:rFonts w:hint="eastAsia" w:ascii="仿宋" w:hAnsi="仿宋" w:eastAsia="仿宋" w:cs="仿宋"/>
          <w:i w:val="0"/>
          <w:caps w:val="0"/>
          <w:color w:val="666666"/>
          <w:spacing w:val="0"/>
          <w:sz w:val="30"/>
          <w:szCs w:val="30"/>
          <w:shd w:val="clear" w:fill="FFFFFF"/>
          <w:vertAlign w:val="baseline"/>
        </w:rPr>
        <w:t>负责调试安装至设备正常运转，负责</w:t>
      </w:r>
      <w:r>
        <w:rPr>
          <w:rFonts w:hint="eastAsia" w:ascii="仿宋" w:hAnsi="仿宋" w:eastAsia="仿宋" w:cs="仿宋"/>
          <w:i w:val="0"/>
          <w:caps w:val="0"/>
          <w:color w:val="666666"/>
          <w:spacing w:val="0"/>
          <w:sz w:val="30"/>
          <w:szCs w:val="30"/>
          <w:shd w:val="clear" w:fill="FFFFFF"/>
          <w:vertAlign w:val="baseline"/>
          <w:lang w:val="en-US" w:eastAsia="zh-CN"/>
        </w:rPr>
        <w:t>配合</w:t>
      </w:r>
      <w:r>
        <w:rPr>
          <w:rFonts w:hint="eastAsia" w:ascii="仿宋" w:hAnsi="仿宋" w:eastAsia="仿宋" w:cs="仿宋"/>
          <w:i w:val="0"/>
          <w:caps w:val="0"/>
          <w:color w:val="666666"/>
          <w:spacing w:val="0"/>
          <w:sz w:val="30"/>
          <w:szCs w:val="30"/>
          <w:shd w:val="clear" w:fill="FFFFFF"/>
          <w:vertAlign w:val="baseline"/>
        </w:rPr>
        <w:t>接入甲方医院信息化系统。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FF0000"/>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2、设备质保二年，</w:t>
      </w:r>
      <w:r>
        <w:rPr>
          <w:rFonts w:hint="eastAsia" w:ascii="仿宋" w:hAnsi="仿宋" w:eastAsia="仿宋" w:cs="仿宋"/>
          <w:i w:val="0"/>
          <w:caps w:val="0"/>
          <w:color w:val="666666"/>
          <w:spacing w:val="0"/>
          <w:sz w:val="30"/>
          <w:szCs w:val="30"/>
          <w:shd w:val="clear" w:fill="FFFFFF"/>
          <w:vertAlign w:val="baseline"/>
        </w:rPr>
        <w:t>设备验收合格后开始计算，</w:t>
      </w:r>
      <w:r>
        <w:rPr>
          <w:rFonts w:hint="eastAsia" w:ascii="仿宋" w:hAnsi="仿宋" w:eastAsia="仿宋" w:cs="仿宋"/>
          <w:i w:val="0"/>
          <w:caps w:val="0"/>
          <w:color w:val="666666"/>
          <w:spacing w:val="0"/>
          <w:sz w:val="30"/>
          <w:szCs w:val="30"/>
          <w:shd w:val="clear" w:fill="FFFFFF"/>
          <w:vertAlign w:val="baseline"/>
          <w:lang w:eastAsia="zh-CN"/>
        </w:rPr>
        <w:t>在</w:t>
      </w:r>
      <w:r>
        <w:rPr>
          <w:rFonts w:hint="eastAsia" w:ascii="仿宋" w:hAnsi="仿宋" w:eastAsia="仿宋" w:cs="仿宋"/>
          <w:i w:val="0"/>
          <w:caps w:val="0"/>
          <w:color w:val="666666"/>
          <w:spacing w:val="0"/>
          <w:sz w:val="30"/>
          <w:szCs w:val="30"/>
          <w:shd w:val="clear" w:fill="FFFFFF"/>
          <w:vertAlign w:val="baseline"/>
          <w:lang w:val="en-US" w:eastAsia="zh-CN"/>
        </w:rPr>
        <w:t>保修期内供方将免费维修和更换属质量原因造成的零部件损坏，质保</w:t>
      </w:r>
      <w:r>
        <w:rPr>
          <w:rFonts w:hint="eastAsia" w:ascii="仿宋" w:hAnsi="仿宋" w:eastAsia="仿宋" w:cs="仿宋"/>
          <w:i w:val="0"/>
          <w:caps w:val="0"/>
          <w:color w:val="666666"/>
          <w:spacing w:val="0"/>
          <w:sz w:val="30"/>
          <w:szCs w:val="30"/>
          <w:shd w:val="clear" w:fill="FFFFFF"/>
          <w:vertAlign w:val="baseline"/>
        </w:rPr>
        <w:t>期满后提供终身维护及零配件供应和维修（</w:t>
      </w:r>
      <w:r>
        <w:rPr>
          <w:rFonts w:hint="eastAsia" w:ascii="仿宋" w:hAnsi="仿宋" w:eastAsia="仿宋" w:cs="仿宋"/>
          <w:i w:val="0"/>
          <w:caps w:val="0"/>
          <w:color w:val="666666"/>
          <w:spacing w:val="0"/>
          <w:sz w:val="30"/>
          <w:szCs w:val="30"/>
          <w:shd w:val="clear" w:fill="FFFFFF"/>
          <w:vertAlign w:val="baseline"/>
          <w:lang w:val="en-US" w:eastAsia="zh-CN"/>
        </w:rPr>
        <w:t>保修期外</w:t>
      </w:r>
      <w:r>
        <w:rPr>
          <w:rFonts w:hint="eastAsia" w:ascii="仿宋" w:hAnsi="仿宋" w:eastAsia="仿宋" w:cs="仿宋"/>
          <w:i w:val="0"/>
          <w:caps w:val="0"/>
          <w:color w:val="666666"/>
          <w:spacing w:val="0"/>
          <w:sz w:val="30"/>
          <w:szCs w:val="30"/>
          <w:shd w:val="clear" w:fill="FFFFFF"/>
          <w:vertAlign w:val="baseline"/>
        </w:rPr>
        <w:t>只收取零配件成本费，</w:t>
      </w:r>
      <w:r>
        <w:rPr>
          <w:rFonts w:hint="eastAsia" w:ascii="仿宋" w:hAnsi="仿宋" w:eastAsia="仿宋" w:cs="仿宋"/>
          <w:i w:val="0"/>
          <w:caps w:val="0"/>
          <w:color w:val="666666"/>
          <w:spacing w:val="0"/>
          <w:sz w:val="30"/>
          <w:szCs w:val="30"/>
          <w:shd w:val="clear" w:fill="FFFFFF"/>
          <w:vertAlign w:val="baseline"/>
          <w:lang w:eastAsia="zh-CN"/>
        </w:rPr>
        <w:t>免收</w:t>
      </w:r>
      <w:r>
        <w:rPr>
          <w:rFonts w:hint="eastAsia" w:ascii="仿宋" w:hAnsi="仿宋" w:eastAsia="仿宋" w:cs="仿宋"/>
          <w:i w:val="0"/>
          <w:caps w:val="0"/>
          <w:color w:val="666666"/>
          <w:spacing w:val="0"/>
          <w:sz w:val="30"/>
          <w:szCs w:val="30"/>
          <w:shd w:val="clear" w:fill="FFFFFF"/>
          <w:vertAlign w:val="baseline"/>
        </w:rPr>
        <w:t>人工服务费）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3、故障</w:t>
      </w:r>
      <w:r>
        <w:rPr>
          <w:rFonts w:hint="eastAsia" w:ascii="仿宋" w:hAnsi="仿宋" w:eastAsia="仿宋" w:cs="仿宋"/>
          <w:i w:val="0"/>
          <w:caps w:val="0"/>
          <w:color w:val="666666"/>
          <w:spacing w:val="0"/>
          <w:sz w:val="30"/>
          <w:szCs w:val="30"/>
          <w:shd w:val="clear" w:fill="FFFFFF"/>
          <w:vertAlign w:val="baseline"/>
        </w:rPr>
        <w:t>响应</w:t>
      </w:r>
      <w:r>
        <w:rPr>
          <w:rFonts w:hint="eastAsia" w:ascii="仿宋" w:hAnsi="仿宋" w:eastAsia="仿宋" w:cs="仿宋"/>
          <w:i w:val="0"/>
          <w:caps w:val="0"/>
          <w:color w:val="666666"/>
          <w:spacing w:val="0"/>
          <w:sz w:val="30"/>
          <w:szCs w:val="30"/>
          <w:shd w:val="clear" w:fill="FFFFFF"/>
          <w:vertAlign w:val="baseline"/>
          <w:lang w:eastAsia="zh-CN"/>
        </w:rPr>
        <w:t>：电话远程连接提供及时的在线工程师技术支持</w:t>
      </w:r>
      <w:r>
        <w:rPr>
          <w:rFonts w:hint="eastAsia" w:ascii="仿宋" w:hAnsi="仿宋" w:eastAsia="仿宋" w:cs="仿宋"/>
          <w:i w:val="0"/>
          <w:caps w:val="0"/>
          <w:color w:val="666666"/>
          <w:spacing w:val="0"/>
          <w:sz w:val="30"/>
          <w:szCs w:val="30"/>
          <w:shd w:val="clear" w:fill="FFFFFF"/>
          <w:vertAlign w:val="baseline"/>
        </w:rPr>
        <w:t>故障响应到位时间4小时内，到位修复时间48小时内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r>
        <w:rPr>
          <w:rFonts w:hint="eastAsia" w:ascii="仿宋" w:hAnsi="仿宋" w:eastAsia="仿宋" w:cs="仿宋"/>
          <w:i w:val="0"/>
          <w:caps w:val="0"/>
          <w:color w:val="666666"/>
          <w:spacing w:val="0"/>
          <w:sz w:val="30"/>
          <w:szCs w:val="30"/>
          <w:shd w:val="clear" w:fill="FFFFFF"/>
          <w:vertAlign w:val="baseline"/>
        </w:rPr>
        <w:t>技术培训要求：</w:t>
      </w:r>
      <w:r>
        <w:rPr>
          <w:rFonts w:hint="eastAsia" w:ascii="仿宋" w:hAnsi="仿宋" w:eastAsia="仿宋" w:cs="仿宋"/>
          <w:i w:val="0"/>
          <w:caps w:val="0"/>
          <w:color w:val="666666"/>
          <w:spacing w:val="0"/>
          <w:sz w:val="30"/>
          <w:szCs w:val="30"/>
          <w:shd w:val="clear" w:fill="FFFFFF"/>
          <w:vertAlign w:val="baseline"/>
          <w:lang w:eastAsia="zh-CN"/>
        </w:rPr>
        <w:t>供应商</w:t>
      </w:r>
      <w:r>
        <w:rPr>
          <w:rFonts w:hint="eastAsia" w:ascii="仿宋" w:hAnsi="仿宋" w:eastAsia="仿宋" w:cs="仿宋"/>
          <w:i w:val="0"/>
          <w:caps w:val="0"/>
          <w:color w:val="666666"/>
          <w:spacing w:val="0"/>
          <w:sz w:val="30"/>
          <w:szCs w:val="30"/>
          <w:shd w:val="clear" w:fill="FFFFFF"/>
          <w:vertAlign w:val="baseline"/>
        </w:rPr>
        <w:t>应提供现场技术培训</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rPr>
        <w:t>保证使用人员正常操作设备的各种功能</w:t>
      </w:r>
      <w:r>
        <w:rPr>
          <w:rFonts w:hint="eastAsia" w:ascii="仿宋" w:hAnsi="仿宋" w:eastAsia="仿宋" w:cs="仿宋"/>
          <w:i w:val="0"/>
          <w:caps w:val="0"/>
          <w:color w:val="666666"/>
          <w:spacing w:val="0"/>
          <w:sz w:val="30"/>
          <w:szCs w:val="30"/>
          <w:shd w:val="clear" w:fill="FFFFFF"/>
          <w:vertAlign w:val="baseline"/>
          <w:lang w:val="en-US" w:eastAsia="zh-CN"/>
        </w:rPr>
        <w:t>。</w:t>
      </w:r>
      <w:r>
        <w:rPr>
          <w:rFonts w:hint="eastAsia" w:ascii="仿宋" w:hAnsi="仿宋" w:eastAsia="仿宋" w:cs="仿宋"/>
          <w:i w:val="0"/>
          <w:caps w:val="0"/>
          <w:color w:val="666666"/>
          <w:spacing w:val="0"/>
          <w:sz w:val="30"/>
          <w:szCs w:val="30"/>
          <w:shd w:val="clear" w:fill="FFFFFF"/>
          <w:vertAlign w:val="baseline"/>
          <w:lang w:eastAsia="zh-CN"/>
        </w:rPr>
        <w:t>培训内容至少包括：</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eastAsia="zh-CN"/>
        </w:rPr>
        <w:t>①对使用操作人员提供的正常使用和简单维护培训，应提供系统的培训教材，保证培训质量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eastAsia="zh-CN"/>
        </w:rPr>
        <w:t>②成交供应商除按要求现场培训外，适时提供远程指导等多种培训方式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5、</w:t>
      </w:r>
      <w:r>
        <w:rPr>
          <w:rFonts w:hint="eastAsia" w:ascii="仿宋" w:hAnsi="仿宋" w:eastAsia="仿宋" w:cs="仿宋"/>
          <w:i w:val="0"/>
          <w:caps w:val="0"/>
          <w:color w:val="666666"/>
          <w:spacing w:val="0"/>
          <w:sz w:val="30"/>
          <w:szCs w:val="30"/>
          <w:shd w:val="clear" w:fill="FFFFFF"/>
          <w:vertAlign w:val="baseline"/>
        </w:rPr>
        <w:t>包装：原厂原包装送货，货到采购人指定地点，经采购人指定人员验证后方可开箱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w:t>
      </w:r>
      <w:r>
        <w:rPr>
          <w:rFonts w:hint="eastAsia" w:ascii="仿宋" w:hAnsi="仿宋" w:eastAsia="仿宋" w:cs="仿宋"/>
          <w:i w:val="0"/>
          <w:caps w:val="0"/>
          <w:color w:val="666666"/>
          <w:spacing w:val="0"/>
          <w:sz w:val="30"/>
          <w:szCs w:val="30"/>
          <w:shd w:val="clear" w:fill="FFFFFF"/>
          <w:vertAlign w:val="baseline"/>
        </w:rPr>
        <w:t>本项目的安装由成交供应商负责，成交供应商应对产品和系统安装提供全面的技术服务与支持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lang w:val="en-US" w:eastAsia="zh-CN"/>
        </w:rPr>
        <w:t>7、对于验收不合格的，采购人有权退货，由此带来的一切损失由中标人自行负责。验收合格的，验收报告</w:t>
      </w:r>
      <w:r>
        <w:rPr>
          <w:rFonts w:hint="eastAsia" w:ascii="仿宋" w:hAnsi="仿宋" w:eastAsia="仿宋" w:cs="仿宋"/>
          <w:i w:val="0"/>
          <w:caps w:val="0"/>
          <w:color w:val="666666"/>
          <w:spacing w:val="0"/>
          <w:sz w:val="30"/>
          <w:szCs w:val="30"/>
          <w:shd w:val="clear" w:fill="FFFFFF"/>
          <w:vertAlign w:val="baseline"/>
          <w:lang w:eastAsia="zh-CN"/>
        </w:rPr>
        <w:t>作为</w:t>
      </w:r>
      <w:r>
        <w:rPr>
          <w:rFonts w:hint="eastAsia" w:ascii="仿宋" w:hAnsi="仿宋" w:eastAsia="仿宋" w:cs="仿宋"/>
          <w:i w:val="0"/>
          <w:caps w:val="0"/>
          <w:color w:val="666666"/>
          <w:spacing w:val="0"/>
          <w:sz w:val="30"/>
          <w:szCs w:val="30"/>
          <w:shd w:val="clear" w:fill="FFFFFF"/>
          <w:vertAlign w:val="baseline"/>
          <w:lang w:val="en-US" w:eastAsia="zh-CN"/>
        </w:rPr>
        <w:t>申请</w:t>
      </w:r>
      <w:r>
        <w:rPr>
          <w:rFonts w:hint="eastAsia" w:ascii="仿宋" w:hAnsi="仿宋" w:eastAsia="仿宋" w:cs="仿宋"/>
          <w:i w:val="0"/>
          <w:caps w:val="0"/>
          <w:color w:val="666666"/>
          <w:spacing w:val="0"/>
          <w:sz w:val="30"/>
          <w:szCs w:val="30"/>
          <w:shd w:val="clear" w:fill="FFFFFF"/>
          <w:vertAlign w:val="baseline"/>
          <w:lang w:eastAsia="zh-CN"/>
        </w:rPr>
        <w:t>支付货款的依据。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8、宫腔镜使用年限：≧5年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9、设备生产日期：生产日期在3个月以内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四、评分标准</w:t>
      </w:r>
    </w:p>
    <w:tbl>
      <w:tblPr>
        <w:tblStyle w:val="14"/>
        <w:tblW w:w="8436" w:type="dxa"/>
        <w:jc w:val="center"/>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551"/>
        <w:gridCol w:w="887"/>
        <w:gridCol w:w="660"/>
        <w:gridCol w:w="5338"/>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8436" w:type="dxa"/>
            <w:gridSpan w:val="4"/>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评审因素及权值</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权值范围</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价格部分</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0.3</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技术部分</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0.</w:t>
            </w:r>
            <w:r>
              <w:rPr>
                <w:rFonts w:hint="eastAsia" w:ascii="仿宋" w:hAnsi="仿宋" w:eastAsia="仿宋" w:cs="仿宋"/>
                <w:i w:val="0"/>
                <w:caps w:val="0"/>
                <w:color w:val="666666"/>
                <w:spacing w:val="0"/>
                <w:sz w:val="30"/>
                <w:szCs w:val="30"/>
                <w:shd w:val="clear" w:fill="FFFFFF"/>
                <w:vertAlign w:val="baseline"/>
                <w:lang w:val="en-US" w:eastAsia="zh-CN"/>
              </w:rPr>
              <w:t>6</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商务部分</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0.1</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8436" w:type="dxa"/>
            <w:gridSpan w:val="4"/>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综合评分表</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w:t>
            </w:r>
          </w:p>
        </w:tc>
        <w:tc>
          <w:tcPr>
            <w:tcW w:w="887"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计分因素</w:t>
            </w: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分值</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计分标准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价格部分(F3、满分为 100 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887"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投标报价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100</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价格分应当采用低价优先法计算，即满足招标文件要求且投标价格最低的投标报价为评标基准价，其价格分为满分（报价权重分）。其他投标人的价格分统一按照下列公式计算：投标报价得分=（评标基准价／投标报价）×报价权重分评标委员会认为投标人的报价明显低于其他通过符合性审查投标人的报价，有可能影响产品质量或者不能诚信履约的,应当要求其在评标现场合理的时间内(30 分钟内)提供书面说明,必要时提交相关证明材料；投标人不能证明其报价合理性的,评标委员会应当将其作为无效投标处理。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技术部分（F1、满分为 100 分）</w:t>
            </w:r>
          </w:p>
        </w:tc>
        <w:tc>
          <w:tcPr>
            <w:tcW w:w="887" w:type="dxa"/>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技术参数响应</w:t>
            </w: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100</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投标人所投产品技术条款及商务条款符合招标文件要求的，计100分；重要参数（▲条款）有负偏离的（包括：配置不详、提供的证明资料欠缺，技术参数描述不清楚或有负偏离、技术响应缺漏项，视同负偏离处理），每一项扣 10 分，扣完为止；一般参数（非“★”和非“▲”条款）有负偏离的（包括： 配置不详、技术参数描述不清楚或有负偏离、技术响应缺漏项，视同负偏离处理）， 每一项扣 5 分，扣完为止；</w:t>
            </w:r>
            <w:r>
              <w:rPr>
                <w:rFonts w:hint="eastAsia" w:ascii="仿宋" w:hAnsi="仿宋" w:eastAsia="仿宋" w:cs="仿宋"/>
                <w:i w:val="0"/>
                <w:caps w:val="0"/>
                <w:color w:val="666666"/>
                <w:spacing w:val="0"/>
                <w:sz w:val="30"/>
                <w:szCs w:val="30"/>
                <w:shd w:val="clear" w:fill="FFFFFF"/>
                <w:vertAlign w:val="baseline"/>
              </w:rPr>
              <w:t>“★”符号标明的条款为实质性要求和条件，对其中任何一条的偏离，为实质性偏离，其投标无效。</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722" w:hRule="atLeast"/>
          <w:jc w:val="center"/>
        </w:trPr>
        <w:tc>
          <w:tcPr>
            <w:tcW w:w="1551" w:type="dxa"/>
            <w:vMerge w:val="restart"/>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商务部分(F2、满分为 100 分)</w:t>
            </w:r>
          </w:p>
        </w:tc>
        <w:tc>
          <w:tcPr>
            <w:tcW w:w="887" w:type="dxa"/>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类似业绩</w:t>
            </w:r>
          </w:p>
        </w:tc>
        <w:tc>
          <w:tcPr>
            <w:tcW w:w="660" w:type="dxa"/>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auto"/>
                <w:spacing w:val="0"/>
                <w:sz w:val="30"/>
                <w:szCs w:val="30"/>
                <w:shd w:val="clear" w:fill="FFFFFF"/>
                <w:vertAlign w:val="baseline"/>
                <w:lang w:val="en-US" w:eastAsia="zh-CN"/>
              </w:rPr>
            </w:pPr>
            <w:r>
              <w:rPr>
                <w:rFonts w:hint="eastAsia" w:ascii="仿宋" w:hAnsi="仿宋" w:eastAsia="仿宋" w:cs="仿宋"/>
                <w:i w:val="0"/>
                <w:caps w:val="0"/>
                <w:color w:val="auto"/>
                <w:spacing w:val="0"/>
                <w:sz w:val="30"/>
                <w:szCs w:val="30"/>
                <w:shd w:val="clear" w:fill="FFFFFF"/>
                <w:vertAlign w:val="baseline"/>
                <w:lang w:val="en-US" w:eastAsia="zh-CN"/>
              </w:rPr>
              <w:t>40</w:t>
            </w:r>
          </w:p>
        </w:tc>
        <w:tc>
          <w:tcPr>
            <w:tcW w:w="53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auto"/>
                <w:spacing w:val="0"/>
                <w:sz w:val="30"/>
                <w:szCs w:val="30"/>
                <w:shd w:val="clear" w:fill="FFFFFF"/>
                <w:vertAlign w:val="baseline"/>
              </w:rPr>
            </w:pPr>
            <w:r>
              <w:rPr>
                <w:rFonts w:hint="eastAsia" w:ascii="仿宋" w:hAnsi="仿宋" w:eastAsia="仿宋" w:cs="仿宋"/>
                <w:i w:val="0"/>
                <w:caps w:val="0"/>
                <w:color w:val="auto"/>
                <w:spacing w:val="0"/>
                <w:sz w:val="30"/>
                <w:szCs w:val="30"/>
                <w:shd w:val="clear" w:fill="FFFFFF"/>
                <w:vertAlign w:val="baseline"/>
              </w:rPr>
              <w:t>提供所投</w:t>
            </w:r>
            <w:r>
              <w:rPr>
                <w:rFonts w:hint="eastAsia" w:ascii="仿宋" w:hAnsi="仿宋" w:eastAsia="仿宋" w:cs="仿宋"/>
                <w:i w:val="0"/>
                <w:caps w:val="0"/>
                <w:color w:val="auto"/>
                <w:spacing w:val="0"/>
                <w:sz w:val="30"/>
                <w:szCs w:val="30"/>
                <w:shd w:val="clear" w:fill="FFFFFF"/>
                <w:vertAlign w:val="baseline"/>
                <w:lang w:val="en-US" w:eastAsia="zh-CN"/>
              </w:rPr>
              <w:t>同</w:t>
            </w:r>
            <w:r>
              <w:rPr>
                <w:rFonts w:hint="eastAsia" w:ascii="仿宋" w:hAnsi="仿宋" w:eastAsia="仿宋" w:cs="仿宋"/>
                <w:i w:val="0"/>
                <w:caps w:val="0"/>
                <w:color w:val="auto"/>
                <w:spacing w:val="0"/>
                <w:sz w:val="30"/>
                <w:szCs w:val="30"/>
                <w:shd w:val="clear" w:fill="FFFFFF"/>
                <w:vertAlign w:val="baseline"/>
              </w:rPr>
              <w:t>产品近三年（以投标截止时间前 36 个月内为准）所投同</w:t>
            </w:r>
            <w:r>
              <w:rPr>
                <w:rFonts w:hint="eastAsia" w:ascii="仿宋" w:hAnsi="仿宋" w:eastAsia="仿宋" w:cs="仿宋"/>
                <w:i w:val="0"/>
                <w:caps w:val="0"/>
                <w:color w:val="auto"/>
                <w:spacing w:val="0"/>
                <w:sz w:val="30"/>
                <w:szCs w:val="30"/>
                <w:shd w:val="clear" w:fill="FFFFFF"/>
                <w:vertAlign w:val="baseline"/>
                <w:lang w:val="en-US" w:eastAsia="zh-CN"/>
              </w:rPr>
              <w:t>型号</w:t>
            </w:r>
            <w:r>
              <w:rPr>
                <w:rFonts w:hint="eastAsia" w:ascii="仿宋" w:hAnsi="仿宋" w:eastAsia="仿宋" w:cs="仿宋"/>
                <w:i w:val="0"/>
                <w:caps w:val="0"/>
                <w:color w:val="auto"/>
                <w:spacing w:val="0"/>
                <w:sz w:val="30"/>
                <w:szCs w:val="30"/>
                <w:shd w:val="clear" w:fill="FFFFFF"/>
                <w:vertAlign w:val="baseline"/>
              </w:rPr>
              <w:t>设备在</w:t>
            </w:r>
            <w:r>
              <w:rPr>
                <w:rFonts w:hint="eastAsia" w:ascii="仿宋" w:hAnsi="仿宋" w:eastAsia="仿宋" w:cs="仿宋"/>
                <w:i w:val="0"/>
                <w:caps w:val="0"/>
                <w:color w:val="auto"/>
                <w:spacing w:val="0"/>
                <w:sz w:val="30"/>
                <w:szCs w:val="30"/>
                <w:shd w:val="clear" w:fill="FFFFFF"/>
                <w:vertAlign w:val="baseline"/>
                <w:lang w:val="en-US" w:eastAsia="zh-CN"/>
              </w:rPr>
              <w:t>二</w:t>
            </w:r>
            <w:r>
              <w:rPr>
                <w:rFonts w:hint="eastAsia" w:ascii="仿宋" w:hAnsi="仿宋" w:eastAsia="仿宋" w:cs="仿宋"/>
                <w:i w:val="0"/>
                <w:caps w:val="0"/>
                <w:color w:val="auto"/>
                <w:spacing w:val="0"/>
                <w:sz w:val="30"/>
                <w:szCs w:val="30"/>
                <w:shd w:val="clear" w:fill="FFFFFF"/>
                <w:vertAlign w:val="baseline"/>
              </w:rPr>
              <w:t>级</w:t>
            </w:r>
            <w:r>
              <w:rPr>
                <w:rFonts w:hint="eastAsia" w:ascii="仿宋" w:hAnsi="仿宋" w:eastAsia="仿宋" w:cs="仿宋"/>
                <w:i w:val="0"/>
                <w:caps w:val="0"/>
                <w:color w:val="auto"/>
                <w:spacing w:val="0"/>
                <w:sz w:val="30"/>
                <w:szCs w:val="30"/>
                <w:shd w:val="clear" w:fill="FFFFFF"/>
                <w:vertAlign w:val="baseline"/>
                <w:lang w:val="en-US" w:eastAsia="zh-CN"/>
              </w:rPr>
              <w:t>以上（含二级）</w:t>
            </w:r>
            <w:r>
              <w:rPr>
                <w:rFonts w:hint="eastAsia" w:ascii="仿宋" w:hAnsi="仿宋" w:eastAsia="仿宋" w:cs="仿宋"/>
                <w:i w:val="0"/>
                <w:caps w:val="0"/>
                <w:color w:val="auto"/>
                <w:spacing w:val="0"/>
                <w:sz w:val="30"/>
                <w:szCs w:val="30"/>
                <w:shd w:val="clear" w:fill="FFFFFF"/>
                <w:vertAlign w:val="baseline"/>
              </w:rPr>
              <w:t xml:space="preserve">医院的供货业绩，每提供1份计 </w:t>
            </w:r>
            <w:r>
              <w:rPr>
                <w:rFonts w:hint="eastAsia" w:ascii="仿宋" w:hAnsi="仿宋" w:eastAsia="仿宋" w:cs="仿宋"/>
                <w:i w:val="0"/>
                <w:caps w:val="0"/>
                <w:color w:val="auto"/>
                <w:spacing w:val="0"/>
                <w:sz w:val="30"/>
                <w:szCs w:val="30"/>
                <w:shd w:val="clear" w:fill="FFFFFF"/>
                <w:vertAlign w:val="baseline"/>
                <w:lang w:val="en-US" w:eastAsia="zh-CN"/>
              </w:rPr>
              <w:t>20</w:t>
            </w:r>
            <w:r>
              <w:rPr>
                <w:rFonts w:hint="eastAsia" w:ascii="仿宋" w:hAnsi="仿宋" w:eastAsia="仿宋" w:cs="仿宋"/>
                <w:i w:val="0"/>
                <w:caps w:val="0"/>
                <w:color w:val="auto"/>
                <w:spacing w:val="0"/>
                <w:sz w:val="30"/>
                <w:szCs w:val="30"/>
                <w:shd w:val="clear" w:fill="FFFFFF"/>
                <w:vertAlign w:val="baseline"/>
              </w:rPr>
              <w:t>分，最高计</w:t>
            </w:r>
            <w:r>
              <w:rPr>
                <w:rFonts w:hint="eastAsia" w:ascii="仿宋" w:hAnsi="仿宋" w:eastAsia="仿宋" w:cs="仿宋"/>
                <w:i w:val="0"/>
                <w:caps w:val="0"/>
                <w:color w:val="auto"/>
                <w:spacing w:val="0"/>
                <w:sz w:val="30"/>
                <w:szCs w:val="30"/>
                <w:shd w:val="clear" w:fill="FFFFFF"/>
                <w:vertAlign w:val="baseline"/>
                <w:lang w:val="en-US" w:eastAsia="zh-CN"/>
              </w:rPr>
              <w:t>40</w:t>
            </w:r>
            <w:r>
              <w:rPr>
                <w:rFonts w:hint="eastAsia" w:ascii="仿宋" w:hAnsi="仿宋" w:eastAsia="仿宋" w:cs="仿宋"/>
                <w:i w:val="0"/>
                <w:caps w:val="0"/>
                <w:color w:val="auto"/>
                <w:spacing w:val="0"/>
                <w:sz w:val="30"/>
                <w:szCs w:val="30"/>
                <w:shd w:val="clear" w:fill="FFFFFF"/>
                <w:vertAlign w:val="baseline"/>
              </w:rPr>
              <w:t>分，须提供中标（成交）通知书或合同复印件并加盖投标人公章，未提供或提供不全不计分。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vMerge w:val="continue"/>
            <w:tcBorders>
              <w:left w:val="single" w:color="auto" w:sz="4" w:space="0"/>
              <w:bottom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887" w:type="dxa"/>
            <w:tcBorders>
              <w:top w:val="single" w:color="auto" w:sz="4" w:space="0"/>
              <w:left w:val="single" w:color="auto" w:sz="4" w:space="0"/>
              <w:bottom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售后服务方案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660" w:type="dxa"/>
            <w:tcBorders>
              <w:top w:val="single" w:color="auto" w:sz="4" w:space="0"/>
              <w:left w:val="single" w:color="auto" w:sz="4" w:space="0"/>
              <w:bottom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auto"/>
                <w:spacing w:val="0"/>
                <w:sz w:val="30"/>
                <w:szCs w:val="30"/>
                <w:shd w:val="clear" w:fill="FFFFFF"/>
                <w:vertAlign w:val="baseline"/>
                <w:lang w:val="en-US" w:eastAsia="zh-CN"/>
              </w:rPr>
            </w:pPr>
            <w:r>
              <w:rPr>
                <w:rFonts w:hint="eastAsia" w:ascii="仿宋" w:hAnsi="仿宋" w:eastAsia="仿宋" w:cs="仿宋"/>
                <w:i w:val="0"/>
                <w:caps w:val="0"/>
                <w:color w:val="auto"/>
                <w:spacing w:val="0"/>
                <w:sz w:val="30"/>
                <w:szCs w:val="30"/>
                <w:shd w:val="clear" w:fill="FFFFFF"/>
                <w:vertAlign w:val="baseline"/>
                <w:lang w:val="en-US" w:eastAsia="zh-CN"/>
              </w:rPr>
              <w:t>60</w:t>
            </w:r>
          </w:p>
        </w:tc>
        <w:tc>
          <w:tcPr>
            <w:tcW w:w="53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auto"/>
                <w:spacing w:val="0"/>
                <w:sz w:val="30"/>
                <w:szCs w:val="30"/>
                <w:shd w:val="clear" w:fill="FFFFFF"/>
                <w:vertAlign w:val="baseline"/>
              </w:rPr>
            </w:pPr>
            <w:r>
              <w:rPr>
                <w:rFonts w:hint="eastAsia" w:ascii="仿宋" w:hAnsi="仿宋" w:eastAsia="仿宋" w:cs="仿宋"/>
                <w:i w:val="0"/>
                <w:caps w:val="0"/>
                <w:color w:val="auto"/>
                <w:spacing w:val="0"/>
                <w:sz w:val="30"/>
                <w:szCs w:val="30"/>
                <w:shd w:val="clear" w:fill="FFFFFF"/>
                <w:vertAlign w:val="baseline"/>
              </w:rPr>
              <w:t>根据投标人所提供的售后服务方案（包括但不限于：项目实施方案</w:t>
            </w:r>
            <w:r>
              <w:rPr>
                <w:rFonts w:hint="eastAsia" w:ascii="仿宋" w:hAnsi="仿宋" w:eastAsia="仿宋" w:cs="仿宋"/>
                <w:i w:val="0"/>
                <w:caps w:val="0"/>
                <w:color w:val="auto"/>
                <w:spacing w:val="0"/>
                <w:sz w:val="30"/>
                <w:szCs w:val="30"/>
                <w:shd w:val="clear" w:fill="FFFFFF"/>
                <w:vertAlign w:val="baseline"/>
                <w:lang w:eastAsia="zh-CN"/>
              </w:rPr>
              <w:t>、</w:t>
            </w:r>
            <w:r>
              <w:rPr>
                <w:rFonts w:hint="eastAsia" w:ascii="仿宋" w:hAnsi="仿宋" w:eastAsia="仿宋" w:cs="仿宋"/>
                <w:i w:val="0"/>
                <w:caps w:val="0"/>
                <w:color w:val="auto"/>
                <w:spacing w:val="0"/>
                <w:sz w:val="30"/>
                <w:szCs w:val="30"/>
                <w:shd w:val="clear" w:fill="FFFFFF"/>
                <w:vertAlign w:val="baseline"/>
              </w:rPr>
              <w:t xml:space="preserve">售后服务团队及培训方案、售后服务保障、备品备件、售后时间安排和应急响应及到现场时间、故障处理技术支持服务）等进行综合评审：方案内容描述完整、科学合理、层次细化、有针对性、可操作性强的，符合本项目实际情况且方案不存在缺漏项或缺陷的计 </w:t>
            </w:r>
            <w:r>
              <w:rPr>
                <w:rFonts w:hint="eastAsia" w:ascii="仿宋" w:hAnsi="仿宋" w:eastAsia="仿宋" w:cs="仿宋"/>
                <w:i w:val="0"/>
                <w:caps w:val="0"/>
                <w:color w:val="auto"/>
                <w:spacing w:val="0"/>
                <w:sz w:val="30"/>
                <w:szCs w:val="30"/>
                <w:shd w:val="clear" w:fill="FFFFFF"/>
                <w:vertAlign w:val="baseline"/>
                <w:lang w:val="en-US" w:eastAsia="zh-CN"/>
              </w:rPr>
              <w:t>50</w:t>
            </w:r>
            <w:r>
              <w:rPr>
                <w:rFonts w:hint="eastAsia" w:ascii="仿宋" w:hAnsi="仿宋" w:eastAsia="仿宋" w:cs="仿宋"/>
                <w:i w:val="0"/>
                <w:caps w:val="0"/>
                <w:color w:val="auto"/>
                <w:spacing w:val="0"/>
                <w:sz w:val="30"/>
                <w:szCs w:val="30"/>
                <w:shd w:val="clear" w:fill="FFFFFF"/>
                <w:vertAlign w:val="baseline"/>
              </w:rPr>
              <w:t xml:space="preserve"> 分；有内容缺漏项的每处扣 5分；有内容缺陷的每处扣 </w:t>
            </w:r>
            <w:r>
              <w:rPr>
                <w:rFonts w:hint="eastAsia" w:ascii="仿宋" w:hAnsi="仿宋" w:eastAsia="仿宋" w:cs="仿宋"/>
                <w:i w:val="0"/>
                <w:caps w:val="0"/>
                <w:color w:val="auto"/>
                <w:spacing w:val="0"/>
                <w:sz w:val="30"/>
                <w:szCs w:val="30"/>
                <w:shd w:val="clear" w:fill="FFFFFF"/>
                <w:vertAlign w:val="baseline"/>
                <w:lang w:val="en-US" w:eastAsia="zh-CN"/>
              </w:rPr>
              <w:t>5</w:t>
            </w:r>
            <w:r>
              <w:rPr>
                <w:rFonts w:hint="eastAsia" w:ascii="仿宋" w:hAnsi="仿宋" w:eastAsia="仿宋" w:cs="仿宋"/>
                <w:i w:val="0"/>
                <w:caps w:val="0"/>
                <w:color w:val="auto"/>
                <w:spacing w:val="0"/>
                <w:sz w:val="30"/>
                <w:szCs w:val="30"/>
                <w:shd w:val="clear" w:fill="FFFFFF"/>
                <w:vertAlign w:val="baseline"/>
              </w:rPr>
              <w:t>分，未提供不计分。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auto"/>
                <w:spacing w:val="0"/>
                <w:sz w:val="30"/>
                <w:szCs w:val="30"/>
                <w:shd w:val="clear" w:fill="FFFFFF"/>
                <w:vertAlign w:val="baseline"/>
              </w:rPr>
            </w:pPr>
            <w:r>
              <w:rPr>
                <w:rFonts w:hint="eastAsia" w:ascii="仿宋" w:hAnsi="仿宋" w:eastAsia="仿宋" w:cs="仿宋"/>
                <w:i w:val="0"/>
                <w:caps w:val="0"/>
                <w:color w:val="auto"/>
                <w:spacing w:val="0"/>
                <w:sz w:val="30"/>
                <w:szCs w:val="30"/>
                <w:shd w:val="clear" w:fill="FFFFFF"/>
                <w:vertAlign w:val="baseline"/>
              </w:rPr>
              <w:t>（备注：1、缺漏项：是指未提供对应内容；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auto"/>
                <w:spacing w:val="0"/>
                <w:sz w:val="30"/>
                <w:szCs w:val="30"/>
                <w:shd w:val="clear" w:fill="FFFFFF"/>
                <w:vertAlign w:val="baseline"/>
              </w:rPr>
            </w:pPr>
            <w:r>
              <w:rPr>
                <w:rFonts w:hint="eastAsia" w:ascii="仿宋" w:hAnsi="仿宋" w:eastAsia="仿宋" w:cs="仿宋"/>
                <w:i w:val="0"/>
                <w:caps w:val="0"/>
                <w:color w:val="auto"/>
                <w:spacing w:val="0"/>
                <w:sz w:val="30"/>
                <w:szCs w:val="30"/>
                <w:shd w:val="clear" w:fill="FFFFFF"/>
                <w:vertAlign w:val="baseline"/>
              </w:rPr>
              <w:t>2、缺陷：是指描述不清、内容不完整、非专门针对本项目或者不适用本项目、内容前后矛盾、存在歧义、逻辑混乱、无条理性等）</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r>
        <w:rPr>
          <w:rFonts w:hint="eastAsia" w:ascii="仿宋" w:hAnsi="仿宋" w:eastAsia="仿宋" w:cs="仿宋"/>
          <w:b/>
          <w:bCs/>
          <w:i w:val="0"/>
          <w:caps w:val="0"/>
          <w:color w:val="666666"/>
          <w:spacing w:val="0"/>
          <w:sz w:val="36"/>
          <w:szCs w:val="36"/>
          <w:shd w:val="clear" w:fill="FFFFFF"/>
          <w:vertAlign w:val="baseline"/>
          <w:lang w:val="en-US" w:eastAsia="zh-CN"/>
        </w:rPr>
        <w:t xml:space="preserve">投标报价表 </w:t>
      </w:r>
    </w:p>
    <w:tbl>
      <w:tblPr>
        <w:tblStyle w:val="10"/>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4"/>
        <w:gridCol w:w="2591"/>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591"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050" w:firstLineChars="13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750" w:firstLineChars="12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思源黑体 CN Heavy">
    <w:altName w:val="黑体"/>
    <w:panose1 w:val="020B0A00000000000000"/>
    <w:charset w:val="86"/>
    <w:family w:val="auto"/>
    <w:pitch w:val="default"/>
    <w:sig w:usb0="00000000" w:usb1="00000000" w:usb2="00000016" w:usb3="00000000" w:csb0="60060107" w:csb1="00000000"/>
  </w:font>
  <w:font w:name="思源黑体 CN Medium">
    <w:altName w:val="黑体"/>
    <w:panose1 w:val="020B0600000000000000"/>
    <w:charset w:val="86"/>
    <w:family w:val="auto"/>
    <w:pitch w:val="default"/>
    <w:sig w:usb0="00000000" w:usb1="00000000" w:usb2="00000016" w:usb3="00000000" w:csb0="600601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5C09E1"/>
    <w:rsid w:val="0061327A"/>
    <w:rsid w:val="01EB332D"/>
    <w:rsid w:val="022E2B1D"/>
    <w:rsid w:val="041F72EC"/>
    <w:rsid w:val="042E6D1A"/>
    <w:rsid w:val="046F1FA3"/>
    <w:rsid w:val="063529B8"/>
    <w:rsid w:val="07F64558"/>
    <w:rsid w:val="09EB06B5"/>
    <w:rsid w:val="0A037876"/>
    <w:rsid w:val="0A7F1C54"/>
    <w:rsid w:val="0B5B1AAE"/>
    <w:rsid w:val="0D3E0D3D"/>
    <w:rsid w:val="0D6F1D69"/>
    <w:rsid w:val="0DE1394E"/>
    <w:rsid w:val="0DE53098"/>
    <w:rsid w:val="0E23413B"/>
    <w:rsid w:val="0F0079FF"/>
    <w:rsid w:val="0F374490"/>
    <w:rsid w:val="115E2D6B"/>
    <w:rsid w:val="11D1502A"/>
    <w:rsid w:val="11FA241B"/>
    <w:rsid w:val="12584586"/>
    <w:rsid w:val="127C1E80"/>
    <w:rsid w:val="12B05C75"/>
    <w:rsid w:val="1340660F"/>
    <w:rsid w:val="144E55A1"/>
    <w:rsid w:val="14C1211F"/>
    <w:rsid w:val="17234412"/>
    <w:rsid w:val="182C3CBB"/>
    <w:rsid w:val="18715839"/>
    <w:rsid w:val="19517BDB"/>
    <w:rsid w:val="1B9F47A0"/>
    <w:rsid w:val="1F9A6BBC"/>
    <w:rsid w:val="20257229"/>
    <w:rsid w:val="21155149"/>
    <w:rsid w:val="234C07DB"/>
    <w:rsid w:val="23747C32"/>
    <w:rsid w:val="24911388"/>
    <w:rsid w:val="25865D3E"/>
    <w:rsid w:val="26B7766A"/>
    <w:rsid w:val="26D05A2E"/>
    <w:rsid w:val="26E82ADC"/>
    <w:rsid w:val="27112F7C"/>
    <w:rsid w:val="27B20F5C"/>
    <w:rsid w:val="27C07800"/>
    <w:rsid w:val="28CF486D"/>
    <w:rsid w:val="2B7C4355"/>
    <w:rsid w:val="2C8B24A1"/>
    <w:rsid w:val="2F4F22FC"/>
    <w:rsid w:val="2F610A6A"/>
    <w:rsid w:val="31BA7C84"/>
    <w:rsid w:val="33DE1E44"/>
    <w:rsid w:val="34790C45"/>
    <w:rsid w:val="364B2F27"/>
    <w:rsid w:val="38AC0BDF"/>
    <w:rsid w:val="38C65049"/>
    <w:rsid w:val="3A1276DF"/>
    <w:rsid w:val="3AEB57CA"/>
    <w:rsid w:val="3B4E6CD0"/>
    <w:rsid w:val="3B6C495E"/>
    <w:rsid w:val="3D121D87"/>
    <w:rsid w:val="40142E33"/>
    <w:rsid w:val="40750FBC"/>
    <w:rsid w:val="43BF634B"/>
    <w:rsid w:val="453C6551"/>
    <w:rsid w:val="45517FA3"/>
    <w:rsid w:val="46065CD4"/>
    <w:rsid w:val="472253E6"/>
    <w:rsid w:val="485355B3"/>
    <w:rsid w:val="4C0E7484"/>
    <w:rsid w:val="4D1B2F97"/>
    <w:rsid w:val="4D370022"/>
    <w:rsid w:val="4F9D5CD5"/>
    <w:rsid w:val="51251D71"/>
    <w:rsid w:val="528211AF"/>
    <w:rsid w:val="53516175"/>
    <w:rsid w:val="5704029A"/>
    <w:rsid w:val="577E7073"/>
    <w:rsid w:val="58A34F35"/>
    <w:rsid w:val="58D07B0F"/>
    <w:rsid w:val="593B2C53"/>
    <w:rsid w:val="59740840"/>
    <w:rsid w:val="59A068B6"/>
    <w:rsid w:val="5B1D1348"/>
    <w:rsid w:val="600A215C"/>
    <w:rsid w:val="6303124A"/>
    <w:rsid w:val="64AA5C56"/>
    <w:rsid w:val="67D43593"/>
    <w:rsid w:val="6802220A"/>
    <w:rsid w:val="682267BB"/>
    <w:rsid w:val="6D8C1906"/>
    <w:rsid w:val="6E256F74"/>
    <w:rsid w:val="6F1A70C8"/>
    <w:rsid w:val="701C4B60"/>
    <w:rsid w:val="72951FA0"/>
    <w:rsid w:val="72DB18A6"/>
    <w:rsid w:val="747C03E3"/>
    <w:rsid w:val="76156B1B"/>
    <w:rsid w:val="765B53E5"/>
    <w:rsid w:val="78765386"/>
    <w:rsid w:val="7A4C2BAA"/>
    <w:rsid w:val="7AB12826"/>
    <w:rsid w:val="7B2F4CA5"/>
    <w:rsid w:val="7BCF7DED"/>
    <w:rsid w:val="7D217ED1"/>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paragraph" w:customStyle="1" w:styleId="16">
    <w:name w:val="1"/>
    <w:basedOn w:val="1"/>
    <w:next w:val="1"/>
    <w:qFormat/>
    <w:uiPriority w:val="0"/>
    <w:pPr>
      <w:keepNext/>
      <w:keepLines/>
      <w:spacing w:before="240" w:beforeLines="0" w:after="64" w:afterLines="0" w:line="360" w:lineRule="auto"/>
      <w:outlineLvl w:val="5"/>
    </w:pPr>
    <w:rPr>
      <w:rFonts w:hint="default" w:ascii="思源黑体 CN Heavy" w:hAnsi="思源黑体 CN Heavy" w:eastAsia="思源黑体 CN Heavy"/>
      <w:b/>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4504</Words>
  <Characters>4888</Characters>
  <Lines>0</Lines>
  <Paragraphs>0</Paragraphs>
  <TotalTime>4</TotalTime>
  <ScaleCrop>false</ScaleCrop>
  <LinksUpToDate>false</LinksUpToDate>
  <CharactersWithSpaces>5131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HONOR</cp:lastModifiedBy>
  <cp:lastPrinted>2026-04-16T03:39:00Z</cp:lastPrinted>
  <dcterms:modified xsi:type="dcterms:W3CDTF">2026-07-16T09:35:35Z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eyJoZGlkIjoiNmZmODMxZGVjYjc0ODVkZDAwZjMzMzBiNWJhYmRhODQiLCJ1c2VySWQiOiI1MDM3NTIyODEifQ==</vt:lpwstr>
  </property>
  <property fmtid="{D5CDD505-2E9C-101B-9397-08002B2CF9AE}" pid="4" name="ICV">
    <vt:lpwstr>1A11D06746A14F9F97416D69892027F4</vt:lpwstr>
  </property>
</Properties>
</file>