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附件一：</w:t>
      </w:r>
    </w:p>
    <w:p>
      <w:pPr>
        <w:pStyle w:val="10"/>
        <w:numPr>
          <w:ilvl w:val="0"/>
          <w:numId w:val="0"/>
        </w:numPr>
        <w:spacing w:beforeAutospacing="0" w:afterAutospacing="0" w:line="360" w:lineRule="auto"/>
        <w:ind w:left="150" w:leftChars="0" w:right="0" w:rightChars="0" w:firstLine="1506" w:firstLineChars="500"/>
        <w:textAlignment w:val="baseline"/>
        <w:rPr>
          <w:rFonts w:hint="eastAsia" w:ascii="仿宋" w:hAnsi="仿宋" w:eastAsia="仿宋" w:cs="仿宋"/>
          <w:i w:val="0"/>
          <w:caps w:val="0"/>
          <w:color w:val="666666"/>
          <w:spacing w:val="0"/>
          <w:sz w:val="32"/>
          <w:szCs w:val="32"/>
          <w:shd w:val="clear" w:fill="FFFFFF"/>
          <w:vertAlign w:val="baseline"/>
        </w:rPr>
      </w:pPr>
      <w:r>
        <w:rPr>
          <w:rFonts w:hint="eastAsia" w:ascii="仿宋" w:hAnsi="仿宋" w:eastAsia="仿宋" w:cs="仿宋"/>
          <w:b/>
          <w:bCs/>
          <w:color w:val="666666"/>
          <w:sz w:val="30"/>
          <w:szCs w:val="30"/>
          <w:shd w:val="clear" w:color="auto" w:fill="FFFFFF"/>
        </w:rPr>
        <w:t>信息管理系统升级改造项目</w:t>
      </w:r>
      <w:r>
        <w:rPr>
          <w:rFonts w:hint="eastAsia" w:ascii="仿宋" w:hAnsi="仿宋" w:eastAsia="仿宋" w:cs="仿宋"/>
          <w:i w:val="0"/>
          <w:caps w:val="0"/>
          <w:color w:val="666666"/>
          <w:spacing w:val="0"/>
          <w:sz w:val="32"/>
          <w:szCs w:val="32"/>
          <w:shd w:val="clear" w:fill="FFFFFF"/>
          <w:vertAlign w:val="baseline"/>
        </w:rPr>
        <w:t>采购需求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一、项目采购清单</w:t>
      </w:r>
    </w:p>
    <w:tbl>
      <w:tblPr>
        <w:tblStyle w:val="12"/>
        <w:tblW w:w="917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3373"/>
        <w:gridCol w:w="873"/>
        <w:gridCol w:w="800"/>
        <w:gridCol w:w="21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序号</w:t>
            </w:r>
          </w:p>
        </w:tc>
        <w:tc>
          <w:tcPr>
            <w:tcW w:w="33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项目名称</w:t>
            </w:r>
          </w:p>
        </w:tc>
        <w:tc>
          <w:tcPr>
            <w:tcW w:w="8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数量</w:t>
            </w:r>
          </w:p>
        </w:tc>
        <w:tc>
          <w:tcPr>
            <w:tcW w:w="800"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单位</w:t>
            </w:r>
          </w:p>
        </w:tc>
        <w:tc>
          <w:tcPr>
            <w:tcW w:w="2100" w:type="dxa"/>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采购预算（元）</w:t>
            </w:r>
          </w:p>
        </w:tc>
        <w:tc>
          <w:tcPr>
            <w:tcW w:w="1500" w:type="dxa"/>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项目参数及要求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33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医务科管理系统</w:t>
            </w:r>
          </w:p>
        </w:tc>
        <w:tc>
          <w:tcPr>
            <w:tcW w:w="8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800"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套</w:t>
            </w:r>
          </w:p>
        </w:tc>
        <w:tc>
          <w:tcPr>
            <w:tcW w:w="2100" w:type="dxa"/>
            <w:vMerge w:val="restart"/>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28</w:t>
            </w:r>
            <w:r>
              <w:rPr>
                <w:rFonts w:hint="eastAsia" w:ascii="仿宋" w:hAnsi="仿宋" w:eastAsia="仿宋" w:cs="仿宋"/>
                <w:i w:val="0"/>
                <w:caps w:val="0"/>
                <w:color w:val="666666"/>
                <w:spacing w:val="0"/>
                <w:sz w:val="30"/>
                <w:szCs w:val="30"/>
                <w:shd w:val="clear" w:fill="FFFFFF"/>
                <w:vertAlign w:val="baseline"/>
                <w:lang w:val="en-US" w:eastAsia="zh-CN"/>
              </w:rPr>
              <w:t>5</w:t>
            </w:r>
            <w:r>
              <w:rPr>
                <w:rFonts w:hint="eastAsia" w:ascii="仿宋" w:hAnsi="仿宋" w:eastAsia="仿宋" w:cs="仿宋"/>
                <w:i w:val="0"/>
                <w:caps w:val="0"/>
                <w:color w:val="666666"/>
                <w:spacing w:val="0"/>
                <w:sz w:val="30"/>
                <w:szCs w:val="30"/>
                <w:shd w:val="clear" w:fill="FFFFFF"/>
                <w:vertAlign w:val="baseline"/>
              </w:rPr>
              <w:t>000</w:t>
            </w:r>
            <w:r>
              <w:rPr>
                <w:rFonts w:hint="eastAsia" w:ascii="仿宋" w:hAnsi="仿宋" w:eastAsia="仿宋" w:cs="仿宋"/>
                <w:i w:val="0"/>
                <w:caps w:val="0"/>
                <w:color w:val="666666"/>
                <w:spacing w:val="0"/>
                <w:sz w:val="30"/>
                <w:szCs w:val="30"/>
                <w:shd w:val="clear" w:fill="FFFFFF"/>
                <w:vertAlign w:val="baseline"/>
                <w:lang w:eastAsia="zh-CN"/>
              </w:rPr>
              <w:t>.</w:t>
            </w:r>
            <w:r>
              <w:rPr>
                <w:rFonts w:hint="eastAsia" w:ascii="仿宋" w:hAnsi="仿宋" w:eastAsia="仿宋" w:cs="仿宋"/>
                <w:i w:val="0"/>
                <w:caps w:val="0"/>
                <w:color w:val="666666"/>
                <w:spacing w:val="0"/>
                <w:sz w:val="30"/>
                <w:szCs w:val="30"/>
                <w:shd w:val="clear" w:fill="FFFFFF"/>
                <w:vertAlign w:val="baseline"/>
                <w:lang w:val="en-US" w:eastAsia="zh-CN"/>
              </w:rPr>
              <w:t>00</w:t>
            </w:r>
          </w:p>
        </w:tc>
        <w:tc>
          <w:tcPr>
            <w:tcW w:w="1500" w:type="dxa"/>
            <w:vMerge w:val="restart"/>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详见《项目采购详细参数及要求》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33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护理部管理系统</w:t>
            </w:r>
          </w:p>
        </w:tc>
        <w:tc>
          <w:tcPr>
            <w:tcW w:w="8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800"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套</w:t>
            </w:r>
          </w:p>
        </w:tc>
        <w:tc>
          <w:tcPr>
            <w:tcW w:w="21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5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33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护理病历质量控制管理系统</w:t>
            </w:r>
          </w:p>
        </w:tc>
        <w:tc>
          <w:tcPr>
            <w:tcW w:w="8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800"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套</w:t>
            </w:r>
          </w:p>
        </w:tc>
        <w:tc>
          <w:tcPr>
            <w:tcW w:w="21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5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33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急诊分诊管理系统</w:t>
            </w:r>
          </w:p>
        </w:tc>
        <w:tc>
          <w:tcPr>
            <w:tcW w:w="8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800"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套</w:t>
            </w:r>
          </w:p>
        </w:tc>
        <w:tc>
          <w:tcPr>
            <w:tcW w:w="21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5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33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湖南省毒麻精药品智能监管平台</w:t>
            </w:r>
            <w:r>
              <w:rPr>
                <w:rFonts w:hint="eastAsia" w:ascii="仿宋" w:hAnsi="仿宋" w:eastAsia="仿宋" w:cs="仿宋"/>
                <w:color w:val="000000" w:themeColor="text1"/>
                <w:sz w:val="30"/>
                <w:szCs w:val="30"/>
                <w:shd w:val="clear" w:color="auto" w:fill="auto"/>
                <w14:textFill>
                  <w14:solidFill>
                    <w14:schemeClr w14:val="tx1"/>
                  </w14:solidFill>
                </w14:textFill>
              </w:rPr>
              <w:t>药品收</w:t>
            </w:r>
            <w:r>
              <w:rPr>
                <w:rFonts w:hint="eastAsia" w:ascii="仿宋" w:hAnsi="仿宋" w:eastAsia="仿宋" w:cs="仿宋"/>
                <w:color w:val="000000" w:themeColor="text1"/>
                <w:sz w:val="30"/>
                <w:szCs w:val="30"/>
                <w:shd w:val="clear" w:color="auto" w:fill="auto"/>
                <w:lang w:val="en-US"/>
                <w14:textFill>
                  <w14:solidFill>
                    <w14:schemeClr w14:val="tx1"/>
                  </w14:solidFill>
                </w14:textFill>
              </w:rPr>
              <w:t>/</w:t>
            </w:r>
            <w:r>
              <w:rPr>
                <w:rFonts w:hint="eastAsia" w:ascii="仿宋" w:hAnsi="仿宋" w:eastAsia="仿宋" w:cs="仿宋"/>
                <w:color w:val="000000" w:themeColor="text1"/>
                <w:sz w:val="30"/>
                <w:szCs w:val="30"/>
                <w:shd w:val="clear" w:color="auto" w:fill="auto"/>
                <w14:textFill>
                  <w14:solidFill>
                    <w14:schemeClr w14:val="tx1"/>
                  </w14:solidFill>
                </w14:textFill>
              </w:rPr>
              <w:t>退费</w:t>
            </w:r>
            <w:r>
              <w:rPr>
                <w:rFonts w:hint="eastAsia" w:ascii="仿宋" w:hAnsi="仿宋" w:eastAsia="仿宋" w:cs="仿宋"/>
                <w:i w:val="0"/>
                <w:caps w:val="0"/>
                <w:color w:val="666666"/>
                <w:spacing w:val="0"/>
                <w:sz w:val="30"/>
                <w:szCs w:val="30"/>
                <w:shd w:val="clear" w:fill="FFFFFF"/>
                <w:vertAlign w:val="baseline"/>
              </w:rPr>
              <w:t>接口</w:t>
            </w:r>
          </w:p>
        </w:tc>
        <w:tc>
          <w:tcPr>
            <w:tcW w:w="873"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800" w:type="dxa"/>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套</w:t>
            </w:r>
          </w:p>
        </w:tc>
        <w:tc>
          <w:tcPr>
            <w:tcW w:w="21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c>
          <w:tcPr>
            <w:tcW w:w="1500" w:type="dxa"/>
            <w:vMerge w:val="continue"/>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二、项目采购详细参数及要求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医务部管理系统</w:t>
      </w:r>
    </w:p>
    <w:tbl>
      <w:tblPr>
        <w:tblStyle w:val="11"/>
        <w:tblW w:w="8711" w:type="dxa"/>
        <w:jc w:val="center"/>
        <w:tblLayout w:type="fixed"/>
        <w:tblCellMar>
          <w:top w:w="0" w:type="dxa"/>
          <w:left w:w="0" w:type="dxa"/>
          <w:bottom w:w="0" w:type="dxa"/>
          <w:right w:w="0" w:type="dxa"/>
        </w:tblCellMar>
      </w:tblPr>
      <w:tblGrid>
        <w:gridCol w:w="629"/>
        <w:gridCol w:w="1228"/>
        <w:gridCol w:w="6854"/>
      </w:tblGrid>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序号</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功能点</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功能描述</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医生档案管理</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1、进行医生基本信息、职务、职称、教育经历档案管理。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2、支持录入医生的相关档案信息，包括合同管理、工作经历、相关证书、教育/培训经历、职务/职称变动、进修情况、研究成果/论文发表等；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3、支持资格证书信息、执业证书信息、其他证书、证照图片或PDF文件等料进行附件资料上传，支持在查看时进行调阅和下载；</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全院患者概况</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1、根据医务科自定义重点关注的全院患者指标，如：住院≧30天、今日手术、今日入院各科室的人数等。</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排班管理</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1、对医生排班；支持调取排班模板排班，支持排班时段、总号源限号、可预约数限号、网上预约限号、不同网上预约途径限号、同一个医生同一时段可出诊多个科室；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2、对已排班班次停诊、停号、取消；</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3、排班模板管理，按周设置门诊科室的排班模板，供排班调取。</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重点患者</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1、支持根据医务科需求，标识出重点关注的患者，浏览这些患者的病例信息，包括入院记录、病程记录、知情文件、手术记录、护理记录、体温单等信息。</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特殊级抗菌药审批</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1、支持对医生开具的特殊级抗菌药申请进行审批确认</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重点手术审批</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1、支持根据手术级别权限，对于疑难手术，手术级别高的医务科进行审批。</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输血申请审批</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1、支持对于超过一定量的输血申请，医务科进行审批。</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单病种质量管理审批</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1、根据临床科室填报的单病种质量过程指标数据，医务科进行审批。</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9</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不良事件审批</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1、根据临床科室填报的医疗不良事件，医务科进行审批。</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医务人员分析</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1、分析全院医务人员的情况，包括：包括医师男女比例、年龄、职称、职称级别、职务、学历分布分析、工作年限分析等</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11</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住院疾病分析</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1、分析单个医生在某个时段全院疾病的分布情况。</w:t>
            </w:r>
          </w:p>
        </w:tc>
      </w:tr>
      <w:tr>
        <w:tblPrEx>
          <w:tblCellMar>
            <w:top w:w="0" w:type="dxa"/>
            <w:left w:w="0" w:type="dxa"/>
            <w:bottom w:w="0" w:type="dxa"/>
            <w:right w:w="0" w:type="dxa"/>
          </w:tblCellMar>
        </w:tblPrEx>
        <w:trPr>
          <w:trHeight w:val="270" w:hRule="atLeast"/>
          <w:jc w:val="center"/>
        </w:trPr>
        <w:tc>
          <w:tcPr>
            <w:tcW w:w="62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12</w:t>
            </w:r>
          </w:p>
        </w:tc>
        <w:tc>
          <w:tcPr>
            <w:tcW w:w="12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手术分析</w:t>
            </w:r>
          </w:p>
        </w:tc>
        <w:tc>
          <w:tcPr>
            <w:tcW w:w="6854"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1、统计分析某个时段手术情况，如：各科室的手术台次，及前十手术分布情况。</w:t>
            </w: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护理部管理系统</w:t>
      </w:r>
    </w:p>
    <w:tbl>
      <w:tblPr>
        <w:tblStyle w:val="11"/>
        <w:tblW w:w="8654" w:type="dxa"/>
        <w:jc w:val="center"/>
        <w:tblLayout w:type="fixed"/>
        <w:tblCellMar>
          <w:top w:w="0" w:type="dxa"/>
          <w:left w:w="0" w:type="dxa"/>
          <w:bottom w:w="0" w:type="dxa"/>
          <w:right w:w="0" w:type="dxa"/>
        </w:tblCellMar>
      </w:tblPr>
      <w:tblGrid>
        <w:gridCol w:w="562"/>
        <w:gridCol w:w="1560"/>
        <w:gridCol w:w="6532"/>
      </w:tblGrid>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序号</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功能点</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功能描述</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总体要求</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1、护理排班：进行全院护理人员排班管理功能。（应提供第三方评测机构出具的软件测试报告（软件名称不限）报告内容应有上述功能描述，并加盖投标人鲜章，否则视为不满足）。</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2、质量管理：进行基础护理质控、专项护理质控、行政查房功能。（应提供第三方评测机构出具的软件测试报告（软件名称不限）报告内容应有上述功能描述，并加盖投标人鲜章，否则视为不满足）。</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首页</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护理部首页支持从多方面展示需要关注的指标数据，同时相应指标可支持下钻调取具体信息。具体要求如下：</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1、支持患者概况展示，主要包括：病重、病危、特级护理、一级护理、住院&gt;30天、压疮高危、血栓高危等指标。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2、支持床位资源展示，主要包括：开放床位、空床、占用率等指标。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3、支持护理质控概况展示，主要包括：未审核、未整改等指标。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4、支持护理不良事件概况展示，主要包括：未审核、本月发生数等指标。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5、支持护士档案概况展示，主要包括：当前在职人数、本月入职人数、本月离职人数等指标。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6、可从护士学历、层级、职称、工龄等多维度，分析护士的人员结构情况。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7、同时提供各科室当前在院患者、病重、病危、特级护理、一级护理、住院&gt;30天等维度的对比情况。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8、下钻的患者相应页面，支持联网调取患者的病历浏览，实现患者电子病历共享。</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护士档案管理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1、支持维护护士基本信息、职务、职称、工作经历、相关证书、教育经历、培训经历、调岗记录、进修情况、科研情况、奖惩记录等档案信息。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2、离职登记，支持护士离职管理，记录离职时间、离职原因。</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3、调岗管理，支持护士调岗，生成相应的调岗记录。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4、借调管理，支持护士借调，记录借调科室，借调周期，借调原因等属性。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5、进修管理，支持录入护士的进修信息，包括进修机构、进修开始时间、进修结束时间、附件信息等属性。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6、科研管理，支持录入护士的科研结果，包括科研成果、类别、级别、刊登刊物、附件信息等属性。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7、奖惩管理，支持录入护士的奖惩信息，包括时间、类型、详细处理信息、附件等属性。</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护士层级管理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1、支持护士层级管理，记录护士的层级信息。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2、支持层级晋升申请，管理护士层级晋升申请流程。</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3、层级晋升审批，管理护士层级晋升审批流程。</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护士请假管理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1、支持多种请假类型维护，比如：事假、年休、产假、病假等等。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2、支持不同类型的假期，设置不同的请假规则，如：请假时长、请假时长单位、请假时间计算方式等。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3、支持不同类型、不同时长的假期，设置不同的请假审批流程。可根据医院自定义。如：一天内请假只需护士长审核，三天以上请假需要护理部主任审核等规则。</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4、支持护士长代无帐号人员进行请假申请。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5、请假审核支持指定具体人员或相应角色两种方式进行设置规则。</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护士排班</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1、支持不同病区设置不同的排班班次。班次设置包括：班次名称、简称、性质、人次限制、排班开始时间点、排班结束时间点、时长、显示色块、及不排班日期等属性。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2、支持护士跨科排班。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3、支持合理性预警。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4、支持重用功能，方便快速进行新排班。</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5、支持录入排班整体情况，及个人备注信息。</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护理制度管理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1、制度管理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（1）支持按分类设置。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（2）文件格式支持PDF文件上传。</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（3）可设置下载权限，查阅权限。方便权限管理。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（4）提供下载记录查询、查阅记录查询。</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（5）支持文件置项、取消置项功能。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（6）可显示文件的大小、上传者、上传时间等属性。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2、制度查询</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（1）按分类进行展示相应的制度文件。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（2）支持快速检索查找相关文件。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（3）针对具备下载权限的人员，可对相应的文件进行下载。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（4）针对具备在线查阅的人员，可对相应的文件进行上线浏览。</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护理敏感指标管理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依据《护理敏感质量指标实用手册》提供结构指标、过程指标、结果指标三类指标数据。具体指标包括：床护比、护患比、每住院患者24小时平均护理时数、不同级别护士配备、护士离职率、住院患者身体约束率、住院患者院内压力性损伤发生率、住院患者跌倒发生率、住院患者跌倒伤害率、气管导管UEX率、胃肠管（经口鼻）UEX率、导尿管UEX率、CAUTI发生率、PICC UEX率、PICC相关血流发生率、CVC UEX率、CVC相关血流感染发生率、呼吸机相关性肺炎发生率、锐器伤发生率等指标。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2、针对相关指标数据源，支持从HIS系统、不良事件、护士档案等多系统进行获取，自动汇总。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3、针对部分无法获取的指标可由操作员手工填写。</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4、病区指标月报表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（1）可展示某个年度，各月、各季度某个病区的各指标数据情况。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（2）支持各指标信息按月、季度进行趋势分析，采用曲线图形化展示。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（3）病区指标月报表可供病区护士使用，根据权限控制病区。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5、全院护理指标月报表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（1）可选择某个年度、某个季度、某个月度等不同数据期展示全院各病区的指标数据情况。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（2）支持图形化（柱状、折线等方式）展示各病区的对比分析情况。</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9</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护理质量管理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1、质量管理总体要求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（1）支持病区、科室、护理部三级质控。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（2）支持基础质控、专项质控、行政查房多类别质控。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（3）质控考核评价对象支持病区、患者、护士三个维度。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（4）支持检查、审核、质量整改，整改审核等流程，遵循质量PDCA管理。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2、质控表单维护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（1）可维护各类质控表单。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（2）质控级别支持病区、科室、护理部三种级别。</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（3）支持导入、导出表单。方便操作员快速维护质控表单。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3、质控小组维护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（1）可维护各级质控的质控小组人员。</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（2）支持设置组长。</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（3）支持多个成员，且可跨科组成。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（4）可设置适用科室，方便权限控制。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4、任务管理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（1）当医院的质控考核进任务发布流程时，支持任务发布。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（2）支持质控类别、质控级别、质控状态、质控组等多过滤条件快速查询相关的质控任务。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（3）支持病区、科室等不同场景使用，根据不同场景进行权限控制。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（4）对已检查的质控表单，可进行审核。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5、整改管理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（1）针对已考核的质控表单，若有扣分的表单进行整改管理。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（2）可根据扣分项目生成整改单，指定责任人、整改期限等。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（3）整改结束后，支持填写整改措施。进行提交。</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（4）由审核人进行整改审核。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（5）支持整改不到位，驳回进行二次整改。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6、基础质控管理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（1）支持按年度展示某考核对象的各月的考核结果。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（2）支持按月分析某质控表单的趋势情况，采用型图形化（柱状、折线）展示。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（3）支持病区、科室等不同场景使用，根据不同场景进行权限控制。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7、专项质控计划</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（1）可对各考核对象、各质控表单进行制定年度考核计划。</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（2）支持直观展示相应的质控表单是否按计划进行了考核。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（3）支持病区、科室等不同场景使用，根据不同场景进行权限控制。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8、专项质控管理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（1）支持按年度展示某考核对象的各月的考核结果。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（2）支持按月分析某质控表单的趋势情况，采用型图形化（柱状、折线）展示。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（3）支持病区、科室等不同场景使用，根据不同场景进行权限控制。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9、行政查房管理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（1）支持按年度展示某考核对象的各月的考核结果。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（2）支持按月分析某质控表单的趋势情况，采用型图形化（柱状、折线）展示。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（3）支持病区、科室等不同场景使用，根据不同场景进行权限控制。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10、质控结果统计分析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（1）支持按质控表单、某个考核时间段进行统计分析各考核对象的考核结果。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（2）支持图形化（柱状、折线）展示各维度的对比情况。</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10</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护士长手册</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1、工作计划</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（1）支持周计划、月计划、季度计划、年度计划等多种计划。</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（2）支持计划提交后，护理部主任进行审核。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2、工作总结</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（1）支持周总结、月总结、季度总结、年度总结等多种总结。</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（2）支持总结提交后，护理部主任进行审核。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3、日常记录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（1）支持记录各种日常记录信息。包括：护理会议记录、护士长例会、科务会议记录、事故登记等。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4、手册缺失警示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（1）针对缺失的手册可提醒警示。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（2）可根据医院的需求进行自定义配置手册缺失规则。</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11</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护理不良事件管理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1、可对护理不良事件进行审核。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2、支持护理不良事件根本原因分析。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3、支持护理不良事件人群分析。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4、支持护理不良事件按日期、事件大类、事件名称、事件级别、上报科室等多维度进行统计护理不事件的发生数、结案数、未审批数等。</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12</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病区管理</w:t>
            </w:r>
          </w:p>
        </w:tc>
        <w:tc>
          <w:tcPr>
            <w:tcW w:w="6532"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1、门诊护理日报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（1）根据某个时间段展示门诊各科室护理日报情况。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（2）门诊护理日报指标可由医院自定义。包括如：静滴、肌注、皮试、洗胃、吸氧、心电监护、采血、测血糖等各类工作量人次。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2、住院护理日报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（1）根据某个时间段展示住院各病区护理日报情况。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（2）住院护理日报指标可由医院自定义。包括如：静滴、肌注、皮试、洗胃、吸氧、心电监护、采血、测血糖等各类工作量人次。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3、住院患者病区概况</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（1）病区概况指标可根据医院需求进行自定义。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（2）可展示全院指标汇总情况，也可按病区卡片形式展示各病区的指标数据。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（3）各指标数据支持下钻，调取对应的明细数据。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4、在院患者分析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（1）在院患者分析概况可根据医院需求进行自定义。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（2）选择不同的指标时，可展示各病区的变化趋势。</w:t>
            </w: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bookmarkStart w:id="0" w:name="_Toc9609"/>
      <w:r>
        <w:rPr>
          <w:rFonts w:hint="eastAsia" w:ascii="仿宋" w:hAnsi="仿宋" w:eastAsia="仿宋" w:cs="仿宋"/>
          <w:i w:val="0"/>
          <w:caps w:val="0"/>
          <w:color w:val="666666"/>
          <w:spacing w:val="0"/>
          <w:sz w:val="30"/>
          <w:szCs w:val="30"/>
          <w:shd w:val="clear" w:fill="FFFFFF"/>
          <w:vertAlign w:val="baseline"/>
        </w:rPr>
        <w:t>护理病历质量控制管理系统</w:t>
      </w:r>
      <w:bookmarkEnd w:id="0"/>
    </w:p>
    <w:tbl>
      <w:tblPr>
        <w:tblStyle w:val="11"/>
        <w:tblW w:w="8876" w:type="dxa"/>
        <w:jc w:val="center"/>
        <w:tblLayout w:type="fixed"/>
        <w:tblCellMar>
          <w:top w:w="0" w:type="dxa"/>
          <w:left w:w="0" w:type="dxa"/>
          <w:bottom w:w="0" w:type="dxa"/>
          <w:right w:w="0" w:type="dxa"/>
        </w:tblCellMar>
      </w:tblPr>
      <w:tblGrid>
        <w:gridCol w:w="704"/>
        <w:gridCol w:w="1559"/>
        <w:gridCol w:w="6613"/>
      </w:tblGrid>
      <w:tr>
        <w:tblPrEx>
          <w:tblCellMar>
            <w:top w:w="0" w:type="dxa"/>
            <w:left w:w="0" w:type="dxa"/>
            <w:bottom w:w="0" w:type="dxa"/>
            <w:right w:w="0" w:type="dxa"/>
          </w:tblCellMar>
        </w:tblPrEx>
        <w:trPr>
          <w:trHeight w:val="270" w:hRule="atLeast"/>
          <w:jc w:val="center"/>
        </w:trPr>
        <w:tc>
          <w:tcPr>
            <w:tcW w:w="7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序号</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功能点</w:t>
            </w:r>
          </w:p>
        </w:tc>
        <w:tc>
          <w:tcPr>
            <w:tcW w:w="6613"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功能描述</w:t>
            </w:r>
          </w:p>
        </w:tc>
      </w:tr>
      <w:tr>
        <w:tblPrEx>
          <w:tblCellMar>
            <w:top w:w="0" w:type="dxa"/>
            <w:left w:w="0" w:type="dxa"/>
            <w:bottom w:w="0" w:type="dxa"/>
            <w:right w:w="0" w:type="dxa"/>
          </w:tblCellMar>
        </w:tblPrEx>
        <w:trPr>
          <w:trHeight w:val="270" w:hRule="atLeast"/>
          <w:jc w:val="center"/>
        </w:trPr>
        <w:tc>
          <w:tcPr>
            <w:tcW w:w="7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综合信息</w:t>
            </w:r>
          </w:p>
        </w:tc>
        <w:tc>
          <w:tcPr>
            <w:tcW w:w="6613"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1、综合信息统计，显示全院概要信息及明细数据。如:今日入院、明日出院、今日出院数、病危病人；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2、显示全院护理病历质量信息及明细数据。如：乙级病历、丙级病历、内涵和时限违规、体温单质控结果等；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3、支持按病区和责任护士下钻显示所有指标，并且所有指标能钻取到最终数据。</w:t>
            </w:r>
          </w:p>
        </w:tc>
      </w:tr>
      <w:tr>
        <w:tblPrEx>
          <w:tblCellMar>
            <w:top w:w="0" w:type="dxa"/>
            <w:left w:w="0" w:type="dxa"/>
            <w:bottom w:w="0" w:type="dxa"/>
            <w:right w:w="0" w:type="dxa"/>
          </w:tblCellMar>
        </w:tblPrEx>
        <w:trPr>
          <w:trHeight w:val="270" w:hRule="atLeast"/>
          <w:jc w:val="center"/>
        </w:trPr>
        <w:tc>
          <w:tcPr>
            <w:tcW w:w="7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护理病理质控</w:t>
            </w:r>
          </w:p>
        </w:tc>
        <w:tc>
          <w:tcPr>
            <w:tcW w:w="6613"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1、提供住院护理病历质控结果集中界面显示，能根据出院时间、在院等快捷条件，快速展现包括全院、病区、责任护士质控主要指标、质控结果等医疗质量指标数据；相关指标数据能下钻到具体的明细。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2、住院病历，显示住院患者信息，提供病历浏览、护理病历评分、逻辑监控、时限监控功能；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3、病历浏览，支持浏览历史病历，方便查看和对比；</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4、护理病历评分，对本次护理病历进行评分，支持导入时限和内涵质量评定结果；支持查看内涵质量监控结果和时限制监控结果；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5、内涵质量监控，住院期间产生逻辑监控违规记录；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6、时限监控，住院期间产生的时限监控违规记录。如入院8小时内写入院护理评估单；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7、护理病历自评，提供按条件进行全院患者查询功能，显示本次住院护理病历评分情况，提供自动评定功能。已评定使用自动评定功能会覆盖上次评定结果。</w:t>
            </w:r>
          </w:p>
        </w:tc>
      </w:tr>
      <w:tr>
        <w:tblPrEx>
          <w:tblCellMar>
            <w:top w:w="0" w:type="dxa"/>
            <w:left w:w="0" w:type="dxa"/>
            <w:bottom w:w="0" w:type="dxa"/>
            <w:right w:w="0" w:type="dxa"/>
          </w:tblCellMar>
        </w:tblPrEx>
        <w:trPr>
          <w:trHeight w:val="270" w:hRule="atLeast"/>
          <w:jc w:val="center"/>
        </w:trPr>
        <w:tc>
          <w:tcPr>
            <w:tcW w:w="7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w:t>
            </w:r>
          </w:p>
        </w:tc>
        <w:tc>
          <w:tcPr>
            <w:tcW w:w="1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决策分析</w:t>
            </w:r>
          </w:p>
        </w:tc>
        <w:tc>
          <w:tcPr>
            <w:tcW w:w="6613"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时限监控，分析住院患者产生的时限监控记录，提供以违规科室，违规护士、违规项目、患者、违规时间（年、季度、月、日）为统计项目进行任意组合的多重统计并支持统计项目和项目顺序可由医生定义），对于统计结果要求在同一页面中显示对应的违规明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内涵质量监控，分析住院患者产生的内涵质量监控记录，提供以违规科室，违规护士、违规项目、患者、违规时间（年、季度、月、日）为统计项目进行任意组合的多重统计并支持统计项目和项目顺序可由医生定义），对于统计结果要求在同一页面中显示对应的违规明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体温单质控，分析住院患者的体温单质量问题，提供以违规科室，违规护士、违规项目、患者、违规时间（年、季度、月、日）为统计项目进行任意组合的多重统计并支持统计项目和项目顺序可由医生定义），对于统计结果要求在同一页面中显示对应的违规明细。</w:t>
            </w: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急诊预检分诊系统</w:t>
      </w:r>
    </w:p>
    <w:tbl>
      <w:tblPr>
        <w:tblStyle w:val="11"/>
        <w:tblW w:w="8867" w:type="dxa"/>
        <w:jc w:val="center"/>
        <w:tblLayout w:type="fixed"/>
        <w:tblCellMar>
          <w:top w:w="0" w:type="dxa"/>
          <w:left w:w="0" w:type="dxa"/>
          <w:bottom w:w="0" w:type="dxa"/>
          <w:right w:w="0" w:type="dxa"/>
        </w:tblCellMar>
      </w:tblPr>
      <w:tblGrid>
        <w:gridCol w:w="562"/>
        <w:gridCol w:w="1560"/>
        <w:gridCol w:w="6745"/>
      </w:tblGrid>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序号</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功能点</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功能描述</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急诊患者登记</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支持通过有效身份证件自动读取患者基本信息（如：身份证号、社保卡、电子健康卡等）进行急诊患者建档和就诊登记。</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病情评估与分级管理</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支持根据患者的病情严重程度和生命体征，进行患者的自动分级处理，如濒危患者（I级）、危重患者（II级）、急症患者（III级）和轻症患者/非急症患者（IV级）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支持根据患者的实际病情人工修改分级。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支持通过仪器接口方式自动获取患者的生命体征数据，如：舒张压、收缩压、体温、脉搏等。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支持根据急诊医学以及国家急诊分诊指南规范标准符合（急诊预检分诊分级标准（2018年版））要求自动对急诊患者进行病情分级。</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支持录入患者去向，与门（急）诊系统进行患者数据的互联互通。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支持选择主判依据，从多角度的客观数据，例如临床表现，体征信息，评分体系，既往史，过敏史，伴随症状等予以系统的评估，自动给出评定结果。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支持电子化保存当时评估分诊数据，为医疗纠纷提供直接有效的资料来源</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分诊评分规则管理</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支持自定义维护评分规则库的建立，比如MEWS评分、疼痛评分等。包括新增、修改、删除、启/停用。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支持对评分细节设置分级级别。</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急诊分诊指标分析</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支持通过时间（如：本周、本月、本季度、本年度、自定义时间）条件选择对急诊分诊指标数据进行统计分析，包括但不限于分诊总人数、I级人数、II级人数、III级人数、IV级人数等</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支持按科室和病情两种维度，通过图形方式直观展现数据。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支持点击指标数据，快速查看明细数据。</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支持通过选中单条明细数据，查看急诊预检分诊详情。</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5</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急诊分诊统计</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支持根据时间范围对分诊数据进行汇总统计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支持按分诊日期维度按日对急诊总人数、I级人数、II级人数、III级人数、IV级人数进行汇总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支持按分诊科室维度按科室对急诊总人数、I级人数、II级人数、III级人数、IV级人数进行汇总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支持按分诊人维度按人对急诊总人数、I级人数、II级人数、III级人数、IV级人数进行汇总。</w:t>
            </w:r>
          </w:p>
        </w:tc>
      </w:tr>
      <w:tr>
        <w:tblPrEx>
          <w:tblCellMar>
            <w:top w:w="0" w:type="dxa"/>
            <w:left w:w="0" w:type="dxa"/>
            <w:bottom w:w="0" w:type="dxa"/>
            <w:right w:w="0" w:type="dxa"/>
          </w:tblCellMar>
        </w:tblPrEx>
        <w:trPr>
          <w:trHeight w:val="270" w:hRule="atLeast"/>
          <w:jc w:val="center"/>
        </w:trPr>
        <w:tc>
          <w:tcPr>
            <w:tcW w:w="56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6</w:t>
            </w:r>
          </w:p>
        </w:tc>
        <w:tc>
          <w:tcPr>
            <w:tcW w:w="15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数据字典管理</w:t>
            </w:r>
          </w:p>
        </w:tc>
        <w:tc>
          <w:tcPr>
            <w:tcW w:w="6745" w:type="dxa"/>
            <w:tcBorders>
              <w:top w:val="single" w:color="000000" w:sz="4" w:space="0"/>
              <w:left w:val="single" w:color="000000" w:sz="4" w:space="0"/>
              <w:bottom w:val="single" w:color="000000" w:sz="4" w:space="0"/>
              <w:right w:val="single" w:color="000000" w:sz="4" w:space="0"/>
            </w:tcBorders>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支持自定义新增、修改、删除主诉信息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支持自定义新增、修改、删除既往史信息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支持自定义新增、修改、删除来院方式信息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支持自定义新增、修改、删除绿色通道信息</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支持自定义新增、修改、删除意识状态信息</w:t>
            </w:r>
          </w:p>
        </w:tc>
      </w:tr>
    </w:tbl>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湖南省毒麻精药品智能监管平台</w:t>
      </w:r>
      <w:r>
        <w:rPr>
          <w:rFonts w:hint="eastAsia" w:ascii="仿宋" w:hAnsi="仿宋" w:eastAsia="仿宋" w:cs="仿宋"/>
          <w:color w:val="FF0000"/>
          <w:sz w:val="30"/>
          <w:szCs w:val="30"/>
          <w:shd w:val="clear" w:color="auto" w:fill="auto"/>
        </w:rPr>
        <w:t>药品收</w:t>
      </w:r>
      <w:r>
        <w:rPr>
          <w:rFonts w:hint="eastAsia" w:ascii="仿宋" w:hAnsi="仿宋" w:eastAsia="仿宋" w:cs="仿宋"/>
          <w:color w:val="FF0000"/>
          <w:sz w:val="30"/>
          <w:szCs w:val="30"/>
          <w:shd w:val="clear" w:color="auto" w:fill="auto"/>
          <w:lang w:val="en-US"/>
        </w:rPr>
        <w:t>/</w:t>
      </w:r>
      <w:r>
        <w:rPr>
          <w:rFonts w:hint="eastAsia" w:ascii="仿宋" w:hAnsi="仿宋" w:eastAsia="仿宋" w:cs="仿宋"/>
          <w:color w:val="FF0000"/>
          <w:sz w:val="30"/>
          <w:szCs w:val="30"/>
          <w:shd w:val="clear" w:color="auto" w:fill="auto"/>
        </w:rPr>
        <w:t>退费</w:t>
      </w:r>
      <w:r>
        <w:rPr>
          <w:rFonts w:hint="eastAsia" w:ascii="仿宋" w:hAnsi="仿宋" w:eastAsia="仿宋" w:cs="仿宋"/>
          <w:i w:val="0"/>
          <w:caps w:val="0"/>
          <w:color w:val="666666"/>
          <w:spacing w:val="0"/>
          <w:sz w:val="30"/>
          <w:szCs w:val="30"/>
          <w:shd w:val="clear" w:fill="FFFFFF"/>
          <w:vertAlign w:val="baseline"/>
        </w:rPr>
        <w:t>接口</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根据《湖南省毒麻精药品事前监管平台指引》的要求对院内信息系统进行功能流程改造，同时完成相关接口的开发工作。确保医院与湖南省毒麻精药品事前监管平台实现数据互联互通。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三、商务要求</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 质保期限：项目整体验收后1年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2、 费用付款方式：</w:t>
      </w:r>
      <w:r>
        <w:rPr>
          <w:rFonts w:hint="eastAsia" w:ascii="仿宋" w:hAnsi="仿宋" w:eastAsia="仿宋" w:cs="仿宋"/>
          <w:i w:val="0"/>
          <w:caps w:val="0"/>
          <w:color w:val="666666"/>
          <w:spacing w:val="0"/>
          <w:sz w:val="30"/>
          <w:szCs w:val="30"/>
          <w:shd w:val="clear" w:fill="FFFFFF"/>
          <w:vertAlign w:val="baseline"/>
          <w:lang w:val="en-US" w:eastAsia="zh-CN"/>
        </w:rPr>
        <w:t>分期支付（具体</w:t>
      </w:r>
      <w:r>
        <w:rPr>
          <w:rFonts w:hint="eastAsia" w:ascii="仿宋" w:hAnsi="仿宋" w:eastAsia="仿宋" w:cs="仿宋"/>
          <w:i w:val="0"/>
          <w:caps w:val="0"/>
          <w:color w:val="666666"/>
          <w:spacing w:val="0"/>
          <w:sz w:val="30"/>
          <w:szCs w:val="30"/>
          <w:shd w:val="clear" w:fill="FFFFFF"/>
          <w:vertAlign w:val="baseline"/>
        </w:rPr>
        <w:t>由双方协商</w:t>
      </w:r>
      <w:r>
        <w:rPr>
          <w:rFonts w:hint="eastAsia" w:ascii="仿宋" w:hAnsi="仿宋" w:eastAsia="仿宋" w:cs="仿宋"/>
          <w:i w:val="0"/>
          <w:caps w:val="0"/>
          <w:color w:val="666666"/>
          <w:spacing w:val="0"/>
          <w:sz w:val="30"/>
          <w:szCs w:val="30"/>
          <w:shd w:val="clear" w:fill="FFFFFF"/>
          <w:vertAlign w:val="baseline"/>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3、供应商所投产品确保与医院现有信息系统能实现互联互通，无缝链接，保证采购方现有信息系统延续使用，并承担医院现有信息系统与本次采购产品对接所产生的需支付给第三方公司的相关费用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4、本项目中标金额为包干价，中标人应充分考虑本项目的服务过程中的一切可预见或不可预见的成本，院方不为本项目支付额外费用，如因此造成项目服务达不到院方要求，中标人承担所有违约责任。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附件二：</w:t>
      </w:r>
    </w:p>
    <w:p>
      <w:pPr>
        <w:pStyle w:val="10"/>
        <w:numPr>
          <w:ilvl w:val="0"/>
          <w:numId w:val="1"/>
        </w:numPr>
        <w:spacing w:beforeAutospacing="0" w:afterAutospacing="0" w:line="360" w:lineRule="auto"/>
        <w:textAlignment w:val="baseline"/>
        <w:rPr>
          <w:rFonts w:hint="eastAsia" w:ascii="仿宋" w:hAnsi="仿宋" w:eastAsia="仿宋" w:cs="仿宋"/>
          <w:color w:val="666666"/>
          <w:sz w:val="30"/>
          <w:szCs w:val="30"/>
          <w:shd w:val="clear" w:color="auto" w:fill="FFFFFF"/>
        </w:rPr>
      </w:pPr>
      <w:r>
        <w:rPr>
          <w:rFonts w:hint="eastAsia" w:ascii="Calibri" w:hAnsi="Calibri" w:eastAsia="宋体" w:cs="Times New Roman"/>
          <w:kern w:val="2"/>
          <w:sz w:val="32"/>
          <w:szCs w:val="32"/>
          <w:vertAlign w:val="baseline"/>
          <w:lang w:val="en-US" w:eastAsia="zh-CN" w:bidi="ar-SA"/>
        </w:rPr>
        <w:t>采购项目名称</w:t>
      </w:r>
      <w:r>
        <w:rPr>
          <w:rFonts w:hint="eastAsia" w:ascii="仿宋_GB2312" w:hAnsi="仿宋_GB2312" w:eastAsia="仿宋_GB2312" w:cs="仿宋_GB2312"/>
          <w:sz w:val="28"/>
          <w:szCs w:val="28"/>
          <w:vertAlign w:val="baseline"/>
          <w:lang w:val="en-US" w:eastAsia="zh-CN"/>
        </w:rPr>
        <w:t>：</w:t>
      </w:r>
      <w:r>
        <w:rPr>
          <w:rFonts w:hint="eastAsia" w:ascii="仿宋" w:hAnsi="仿宋" w:eastAsia="仿宋" w:cs="仿宋"/>
          <w:b/>
          <w:bCs/>
          <w:color w:val="666666"/>
          <w:sz w:val="30"/>
          <w:szCs w:val="30"/>
          <w:shd w:val="clear" w:color="auto" w:fill="FFFFFF"/>
        </w:rPr>
        <w:t>信息管理系统升级改造项目</w:t>
      </w:r>
    </w:p>
    <w:p>
      <w:pPr>
        <w:widowControl/>
        <w:shd w:val="clear" w:color="auto" w:fill="FFFFFF"/>
        <w:spacing w:line="480" w:lineRule="atLeast"/>
        <w:textAlignment w:val="baseline"/>
        <w:rPr>
          <w:rFonts w:hint="eastAsia" w:ascii="宋体" w:hAnsi="宋体" w:eastAsia="宋体" w:cs="宋体"/>
          <w:color w:val="666666"/>
          <w:kern w:val="0"/>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val="0"/>
        <w:autoSpaceDN/>
        <w:bidi w:val="0"/>
        <w:adjustRightInd/>
        <w:spacing w:before="0" w:beforeAutospacing="0" w:after="0" w:afterAutospacing="0" w:line="480" w:lineRule="exact"/>
        <w:ind w:left="0" w:right="0"/>
        <w:jc w:val="left"/>
        <w:textAlignment w:val="top"/>
        <w:rPr>
          <w:b w:val="0"/>
          <w:bCs w:val="0"/>
          <w:sz w:val="24"/>
          <w:szCs w:val="24"/>
        </w:rPr>
      </w:pPr>
      <w:r>
        <w:rPr>
          <w:rFonts w:hint="eastAsia" w:ascii="仿宋_GB2312" w:hAnsi="仿宋_GB2312" w:eastAsia="仿宋_GB2312" w:cs="仿宋_GB2312"/>
          <w:color w:val="FF0000"/>
          <w:sz w:val="32"/>
          <w:szCs w:val="32"/>
          <w:vertAlign w:val="baseline"/>
          <w:lang w:val="en-US" w:eastAsia="zh-CN"/>
        </w:rPr>
        <w:t xml:space="preserve"> </w:t>
      </w:r>
      <w:r>
        <w:rPr>
          <w:rFonts w:ascii="宋体" w:hAnsi="宋体" w:eastAsia="宋体" w:cs="宋体"/>
          <w:b/>
          <w:bCs/>
          <w:kern w:val="0"/>
          <w:sz w:val="24"/>
          <w:szCs w:val="24"/>
          <w:lang w:val="en-US" w:eastAsia="zh-CN" w:bidi="ar"/>
        </w:rPr>
        <w:t>投标报价一览表</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28"/>
          <w:szCs w:val="28"/>
          <w:vertAlign w:val="baseline"/>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pacing w:before="0" w:beforeAutospacing="0" w:after="200" w:afterAutospacing="0" w:line="480" w:lineRule="exact"/>
        <w:ind w:left="0" w:right="0" w:firstLine="0"/>
        <w:jc w:val="center"/>
        <w:textAlignment w:val="top"/>
        <w:rPr>
          <w:b w:val="0"/>
          <w:bCs w:val="0"/>
          <w:sz w:val="24"/>
          <w:szCs w:val="24"/>
        </w:rPr>
      </w:pPr>
      <w:r>
        <w:rPr>
          <w:rFonts w:hint="eastAsia" w:ascii="微软雅黑" w:hAnsi="微软雅黑" w:eastAsia="微软雅黑" w:cs="微软雅黑"/>
          <w:sz w:val="24"/>
          <w:szCs w:val="24"/>
          <w:lang w:val="en-US" w:eastAsia="zh-CN"/>
        </w:rPr>
        <w:t>报价</w:t>
      </w:r>
      <w:r>
        <w:rPr>
          <w:rFonts w:ascii="宋体" w:hAnsi="宋体" w:eastAsia="宋体" w:cs="宋体"/>
          <w:b/>
          <w:bCs/>
          <w:kern w:val="0"/>
          <w:sz w:val="24"/>
          <w:szCs w:val="24"/>
          <w:lang w:val="en-US" w:eastAsia="zh-CN" w:bidi="ar"/>
        </w:rPr>
        <w:t>(第</w:t>
      </w:r>
      <w:r>
        <w:rPr>
          <w:rFonts w:ascii="宋体" w:hAnsi="宋体" w:eastAsia="宋体" w:cs="宋体"/>
          <w:b/>
          <w:bCs/>
          <w:kern w:val="0"/>
          <w:sz w:val="24"/>
          <w:szCs w:val="24"/>
          <w:u w:val="single"/>
          <w:lang w:val="en-US" w:eastAsia="zh-CN" w:bidi="ar"/>
        </w:rPr>
        <w:t> </w:t>
      </w:r>
      <w:r>
        <w:rPr>
          <w:rFonts w:hint="eastAsia" w:ascii="宋体" w:hAnsi="宋体" w:eastAsia="宋体" w:cs="宋体"/>
          <w:b/>
          <w:bCs/>
          <w:kern w:val="0"/>
          <w:sz w:val="24"/>
          <w:szCs w:val="24"/>
          <w:u w:val="single"/>
          <w:lang w:val="en-US" w:eastAsia="zh-CN" w:bidi="ar"/>
        </w:rPr>
        <w:t>1</w:t>
      </w:r>
      <w:r>
        <w:rPr>
          <w:rFonts w:ascii="宋体" w:hAnsi="宋体" w:eastAsia="宋体" w:cs="宋体"/>
          <w:b/>
          <w:bCs/>
          <w:kern w:val="0"/>
          <w:sz w:val="24"/>
          <w:szCs w:val="24"/>
          <w:u w:val="single"/>
          <w:lang w:val="en-US" w:eastAsia="zh-CN" w:bidi="ar"/>
        </w:rPr>
        <w:t>  </w:t>
      </w:r>
      <w:r>
        <w:rPr>
          <w:rFonts w:ascii="宋体" w:hAnsi="宋体" w:eastAsia="宋体" w:cs="宋体"/>
          <w:b/>
          <w:bCs/>
          <w:kern w:val="0"/>
          <w:sz w:val="24"/>
          <w:szCs w:val="24"/>
          <w:lang w:val="en-US" w:eastAsia="zh-CN" w:bidi="ar"/>
        </w:rPr>
        <w:t>轮) </w:t>
      </w:r>
    </w:p>
    <w:tbl>
      <w:tblPr>
        <w:tblStyle w:val="11"/>
        <w:tblW w:w="91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489"/>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7" w:hRule="atLeast"/>
        </w:trPr>
        <w:tc>
          <w:tcPr>
            <w:tcW w:w="7489" w:type="dxa"/>
            <w:vMerge w:val="restar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0" w:afterAutospacing="0" w:line="480" w:lineRule="exact"/>
              <w:ind w:left="0" w:right="0" w:firstLine="320"/>
              <w:jc w:val="left"/>
              <w:textAlignment w:val="top"/>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投标报价：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0" w:afterAutospacing="0" w:line="480" w:lineRule="exact"/>
              <w:ind w:left="0" w:right="0" w:firstLine="1440" w:firstLineChars="600"/>
              <w:jc w:val="left"/>
              <w:textAlignment w:val="top"/>
              <w:rPr>
                <w:rFonts w:hint="default" w:ascii="宋体" w:hAnsi="宋体" w:eastAsia="宋体" w:cs="宋体"/>
                <w:b w:val="0"/>
                <w:bCs w:val="0"/>
                <w:kern w:val="0"/>
                <w:sz w:val="24"/>
                <w:szCs w:val="24"/>
                <w:lang w:val="en-US" w:eastAsia="zh-CN" w:bidi="ar"/>
              </w:rPr>
            </w:pPr>
            <w:r>
              <w:rPr>
                <w:rFonts w:hint="default" w:ascii="宋体" w:hAnsi="宋体" w:eastAsia="宋体" w:cs="宋体"/>
                <w:b w:val="0"/>
                <w:bCs w:val="0"/>
                <w:kern w:val="0"/>
                <w:sz w:val="24"/>
                <w:szCs w:val="24"/>
                <w:lang w:val="en-US" w:eastAsia="zh-CN" w:bidi="ar"/>
              </w:rPr>
              <w:t>小写：</w:t>
            </w:r>
            <w:r>
              <w:rPr>
                <w:rFonts w:hint="default" w:ascii="宋体" w:hAnsi="宋体" w:eastAsia="宋体" w:cs="宋体"/>
                <w:b w:val="0"/>
                <w:bCs w:val="0"/>
                <w:kern w:val="0"/>
                <w:sz w:val="24"/>
                <w:szCs w:val="24"/>
                <w:u w:val="thick"/>
                <w:lang w:val="en-US" w:eastAsia="zh-CN" w:bidi="ar"/>
              </w:rPr>
              <w:t>             </w:t>
            </w:r>
            <w:r>
              <w:rPr>
                <w:rFonts w:hint="default" w:ascii="宋体" w:hAnsi="宋体" w:eastAsia="宋体" w:cs="宋体"/>
                <w:b w:val="0"/>
                <w:bCs w:val="0"/>
                <w:kern w:val="0"/>
                <w:sz w:val="24"/>
                <w:szCs w:val="24"/>
                <w:lang w:val="en-US" w:eastAsia="zh-CN" w:bidi="ar"/>
              </w:rPr>
              <w:t>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0" w:afterAutospacing="0" w:line="480" w:lineRule="exact"/>
              <w:ind w:left="0" w:right="0" w:firstLine="1440" w:firstLineChars="600"/>
              <w:jc w:val="left"/>
              <w:textAlignment w:val="top"/>
              <w:rPr>
                <w:rFonts w:hint="default" w:ascii="宋体" w:hAnsi="宋体" w:eastAsia="宋体" w:cs="宋体"/>
                <w:b w:val="0"/>
                <w:bCs w:val="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0" w:afterAutospacing="0" w:line="480" w:lineRule="exact"/>
              <w:ind w:left="0" w:right="0" w:firstLine="1440" w:firstLineChars="600"/>
              <w:jc w:val="left"/>
              <w:textAlignment w:val="top"/>
              <w:rPr>
                <w:rFonts w:hint="default"/>
                <w:b w:val="0"/>
                <w:bCs w:val="0"/>
                <w:sz w:val="24"/>
                <w:szCs w:val="24"/>
              </w:rPr>
            </w:pPr>
            <w:r>
              <w:rPr>
                <w:rFonts w:hint="default" w:ascii="宋体" w:hAnsi="宋体" w:eastAsia="宋体" w:cs="宋体"/>
                <w:b w:val="0"/>
                <w:bCs w:val="0"/>
                <w:kern w:val="0"/>
                <w:sz w:val="24"/>
                <w:szCs w:val="24"/>
                <w:lang w:val="en-US" w:eastAsia="zh-CN" w:bidi="ar"/>
              </w:rPr>
              <w:t>大写：</w:t>
            </w:r>
            <w:r>
              <w:rPr>
                <w:rFonts w:hint="default" w:ascii="宋体" w:hAnsi="宋体" w:eastAsia="宋体" w:cs="宋体"/>
                <w:b w:val="0"/>
                <w:bCs w:val="0"/>
                <w:kern w:val="0"/>
                <w:sz w:val="24"/>
                <w:szCs w:val="24"/>
                <w:u w:val="single"/>
                <w:lang w:val="en-US" w:eastAsia="zh-CN" w:bidi="ar"/>
              </w:rPr>
              <w:t>             </w:t>
            </w:r>
            <w:r>
              <w:rPr>
                <w:rFonts w:hint="default" w:ascii="宋体" w:hAnsi="宋体" w:eastAsia="宋体" w:cs="宋体"/>
                <w:b w:val="0"/>
                <w:bCs w:val="0"/>
                <w:kern w:val="0"/>
                <w:sz w:val="24"/>
                <w:szCs w:val="24"/>
                <w:lang w:val="en-US" w:eastAsia="zh-CN" w:bidi="ar"/>
              </w:rPr>
              <w:t>元</w:t>
            </w:r>
          </w:p>
        </w:tc>
        <w:tc>
          <w:tcPr>
            <w:tcW w:w="16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pacing w:before="0" w:beforeAutospacing="0" w:after="0" w:afterAutospacing="0" w:line="480" w:lineRule="exact"/>
              <w:ind w:left="0" w:right="0"/>
              <w:jc w:val="center"/>
              <w:textAlignment w:val="top"/>
              <w:rPr>
                <w:rFonts w:hint="default"/>
                <w:b w:val="0"/>
                <w:bCs w:val="0"/>
                <w:sz w:val="24"/>
                <w:szCs w:val="24"/>
              </w:rPr>
            </w:pPr>
            <w:r>
              <w:rPr>
                <w:rFonts w:hint="default" w:ascii="宋体" w:hAnsi="宋体" w:eastAsia="宋体" w:cs="宋体"/>
                <w:b w:val="0"/>
                <w:bCs w:val="0"/>
                <w:kern w:val="0"/>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77" w:hRule="atLeast"/>
        </w:trPr>
        <w:tc>
          <w:tcPr>
            <w:tcW w:w="7489" w:type="dxa"/>
            <w:vMerge w:val="continue"/>
            <w:tcBorders>
              <w:top w:val="single" w:color="auto" w:sz="4" w:space="0"/>
              <w:left w:val="single" w:color="auto" w:sz="4" w:space="0"/>
            </w:tcBorders>
            <w:tcMar>
              <w:top w:w="0" w:type="dxa"/>
              <w:left w:w="0" w:type="dxa"/>
              <w:bottom w:w="0" w:type="dxa"/>
              <w:right w:w="0" w:type="dxa"/>
            </w:tcMar>
            <w:vAlign w:val="top"/>
          </w:tcPr>
          <w:p>
            <w:pPr>
              <w:keepNext w:val="0"/>
              <w:keepLines w:val="0"/>
              <w:pageBreakBefore w:val="0"/>
              <w:suppressLineNumbers w:val="0"/>
              <w:kinsoku/>
              <w:overflowPunct/>
              <w:topLinePunct w:val="0"/>
              <w:autoSpaceDN/>
              <w:bidi w:val="0"/>
              <w:adjustRightInd/>
              <w:spacing w:before="0" w:beforeAutospacing="0" w:after="0" w:afterAutospacing="0" w:line="480" w:lineRule="exact"/>
              <w:ind w:left="0" w:right="0"/>
              <w:rPr>
                <w:rFonts w:hint="eastAsia" w:ascii="宋体"/>
                <w:b w:val="0"/>
                <w:bCs w:val="0"/>
                <w:sz w:val="24"/>
                <w:szCs w:val="24"/>
              </w:rPr>
            </w:pPr>
          </w:p>
        </w:tc>
        <w:tc>
          <w:tcPr>
            <w:tcW w:w="1620" w:type="dxa"/>
            <w:tcBorders>
              <w:top w:val="single" w:color="auto" w:sz="4" w:space="0"/>
            </w:tcBorders>
            <w:tcMar>
              <w:top w:w="0" w:type="dxa"/>
              <w:left w:w="0" w:type="dxa"/>
              <w:bottom w:w="0" w:type="dxa"/>
              <w:right w:w="0"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pacing w:before="0" w:beforeAutospacing="0" w:after="200" w:afterAutospacing="0" w:line="480" w:lineRule="exact"/>
              <w:ind w:left="0" w:right="0"/>
              <w:jc w:val="left"/>
              <w:textAlignment w:val="top"/>
              <w:rPr>
                <w:rFonts w:hint="default"/>
                <w:b w:val="0"/>
                <w:bCs w:val="0"/>
                <w:sz w:val="24"/>
                <w:szCs w:val="24"/>
              </w:rPr>
            </w:pPr>
            <w:r>
              <w:rPr>
                <w:rFonts w:hint="default" w:ascii="宋体" w:hAnsi="宋体" w:eastAsia="宋体" w:cs="宋体"/>
                <w:b w:val="0"/>
                <w:bCs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pacing w:before="0" w:beforeAutospacing="0" w:after="200" w:afterAutospacing="0" w:line="480" w:lineRule="exact"/>
              <w:ind w:left="0" w:right="0"/>
              <w:jc w:val="left"/>
              <w:textAlignment w:val="top"/>
              <w:rPr>
                <w:rFonts w:hint="default"/>
                <w:b w:val="0"/>
                <w:bCs w:val="0"/>
                <w:sz w:val="24"/>
                <w:szCs w:val="24"/>
              </w:rPr>
            </w:pPr>
            <w:r>
              <w:rPr>
                <w:rFonts w:hint="default" w:ascii="宋体" w:hAnsi="宋体" w:eastAsia="宋体" w:cs="宋体"/>
                <w:b w:val="0"/>
                <w:bCs w:val="0"/>
                <w:kern w:val="0"/>
                <w:sz w:val="24"/>
                <w:szCs w:val="24"/>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pacing w:before="0" w:beforeAutospacing="0" w:after="200" w:afterAutospacing="0" w:line="480" w:lineRule="exact"/>
              <w:ind w:left="0" w:right="0"/>
              <w:jc w:val="center"/>
              <w:textAlignment w:val="top"/>
              <w:rPr>
                <w:rFonts w:hint="default"/>
                <w:b w:val="0"/>
                <w:bCs w:val="0"/>
                <w:sz w:val="24"/>
                <w:szCs w:val="24"/>
              </w:rPr>
            </w:pPr>
            <w:r>
              <w:rPr>
                <w:rFonts w:hint="default" w:ascii="宋体" w:hAnsi="宋体" w:eastAsia="宋体" w:cs="宋体"/>
                <w:b w:val="0"/>
                <w:bCs w:val="0"/>
                <w:kern w:val="0"/>
                <w:sz w:val="24"/>
                <w:szCs w:val="24"/>
                <w:lang w:val="en-US" w:eastAsia="zh-CN" w:bidi="ar"/>
              </w:rPr>
              <w:t>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159" w:afterAutospacing="0" w:line="480" w:lineRule="exact"/>
        <w:ind w:left="0" w:right="0"/>
        <w:jc w:val="left"/>
        <w:textAlignment w:val="top"/>
        <w:rPr>
          <w:rFonts w:ascii="宋体" w:hAnsi="宋体" w:eastAsia="宋体" w:cs="宋体"/>
          <w:b w:val="0"/>
          <w:bCs w:val="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159" w:afterAutospacing="0" w:line="480" w:lineRule="exact"/>
        <w:ind w:left="0" w:right="0"/>
        <w:jc w:val="left"/>
        <w:textAlignment w:val="top"/>
        <w:rPr>
          <w:b w:val="0"/>
          <w:bCs w:val="0"/>
          <w:sz w:val="24"/>
          <w:szCs w:val="24"/>
        </w:rPr>
      </w:pPr>
      <w:r>
        <w:rPr>
          <w:rFonts w:ascii="宋体" w:hAnsi="宋体" w:eastAsia="宋体" w:cs="宋体"/>
          <w:b w:val="0"/>
          <w:bCs w:val="0"/>
          <w:kern w:val="0"/>
          <w:sz w:val="24"/>
          <w:szCs w:val="24"/>
          <w:lang w:val="en-US" w:eastAsia="zh-CN" w:bidi="ar"/>
        </w:rPr>
        <w:t>供应商名称(盖单位公章)：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200" w:afterAutospacing="0" w:line="480" w:lineRule="exact"/>
        <w:ind w:left="0" w:right="0"/>
        <w:jc w:val="left"/>
        <w:textAlignment w:val="top"/>
        <w:rPr>
          <w:b w:val="0"/>
          <w:bCs w:val="0"/>
          <w:sz w:val="24"/>
          <w:szCs w:val="24"/>
        </w:rPr>
      </w:pPr>
      <w:r>
        <w:rPr>
          <w:rFonts w:ascii="宋体" w:hAnsi="宋体" w:eastAsia="宋体" w:cs="宋体"/>
          <w:b w:val="0"/>
          <w:bCs w:val="0"/>
          <w:spacing w:val="-2"/>
          <w:kern w:val="0"/>
          <w:sz w:val="24"/>
          <w:szCs w:val="24"/>
          <w:lang w:val="en-US" w:eastAsia="zh-CN" w:bidi="ar"/>
        </w:rPr>
        <w:t>法</w:t>
      </w:r>
      <w:r>
        <w:rPr>
          <w:rFonts w:ascii="宋体" w:hAnsi="宋体" w:eastAsia="宋体" w:cs="宋体"/>
          <w:b w:val="0"/>
          <w:bCs w:val="0"/>
          <w:kern w:val="0"/>
          <w:sz w:val="24"/>
          <w:szCs w:val="24"/>
          <w:lang w:val="en-US" w:eastAsia="zh-CN" w:bidi="ar"/>
        </w:rPr>
        <w:t>定</w:t>
      </w:r>
      <w:r>
        <w:rPr>
          <w:rFonts w:ascii="宋体" w:hAnsi="宋体" w:eastAsia="宋体" w:cs="宋体"/>
          <w:b w:val="0"/>
          <w:bCs w:val="0"/>
          <w:spacing w:val="-2"/>
          <w:kern w:val="0"/>
          <w:sz w:val="24"/>
          <w:szCs w:val="24"/>
          <w:lang w:val="en-US" w:eastAsia="zh-CN" w:bidi="ar"/>
        </w:rPr>
        <w:t>代</w:t>
      </w:r>
      <w:r>
        <w:rPr>
          <w:rFonts w:ascii="宋体" w:hAnsi="宋体" w:eastAsia="宋体" w:cs="宋体"/>
          <w:b w:val="0"/>
          <w:bCs w:val="0"/>
          <w:kern w:val="0"/>
          <w:sz w:val="24"/>
          <w:szCs w:val="24"/>
          <w:lang w:val="en-US" w:eastAsia="zh-CN" w:bidi="ar"/>
        </w:rPr>
        <w:t>表</w:t>
      </w:r>
      <w:r>
        <w:rPr>
          <w:rFonts w:ascii="宋体" w:hAnsi="宋体" w:eastAsia="宋体" w:cs="宋体"/>
          <w:b w:val="0"/>
          <w:bCs w:val="0"/>
          <w:spacing w:val="-2"/>
          <w:kern w:val="0"/>
          <w:sz w:val="24"/>
          <w:szCs w:val="24"/>
          <w:lang w:val="en-US" w:eastAsia="zh-CN" w:bidi="ar"/>
        </w:rPr>
        <w:t>人</w:t>
      </w:r>
      <w:r>
        <w:rPr>
          <w:rFonts w:ascii="宋体" w:hAnsi="宋体" w:eastAsia="宋体" w:cs="宋体"/>
          <w:b w:val="0"/>
          <w:bCs w:val="0"/>
          <w:kern w:val="0"/>
          <w:sz w:val="24"/>
          <w:szCs w:val="24"/>
          <w:lang w:val="en-US" w:eastAsia="zh-CN" w:bidi="ar"/>
        </w:rPr>
        <w:t>(</w:t>
      </w:r>
      <w:r>
        <w:rPr>
          <w:rFonts w:ascii="宋体" w:hAnsi="宋体" w:eastAsia="宋体" w:cs="宋体"/>
          <w:b w:val="0"/>
          <w:bCs w:val="0"/>
          <w:spacing w:val="-2"/>
          <w:kern w:val="0"/>
          <w:sz w:val="24"/>
          <w:szCs w:val="24"/>
          <w:lang w:val="en-US" w:eastAsia="zh-CN" w:bidi="ar"/>
        </w:rPr>
        <w:t>单</w:t>
      </w:r>
      <w:r>
        <w:rPr>
          <w:rFonts w:ascii="宋体" w:hAnsi="宋体" w:eastAsia="宋体" w:cs="宋体"/>
          <w:b w:val="0"/>
          <w:bCs w:val="0"/>
          <w:kern w:val="0"/>
          <w:sz w:val="24"/>
          <w:szCs w:val="24"/>
          <w:lang w:val="en-US" w:eastAsia="zh-CN" w:bidi="ar"/>
        </w:rPr>
        <w:t>位</w:t>
      </w:r>
      <w:r>
        <w:rPr>
          <w:rFonts w:ascii="宋体" w:hAnsi="宋体" w:eastAsia="宋体" w:cs="宋体"/>
          <w:b w:val="0"/>
          <w:bCs w:val="0"/>
          <w:spacing w:val="-2"/>
          <w:kern w:val="0"/>
          <w:sz w:val="24"/>
          <w:szCs w:val="24"/>
          <w:lang w:val="en-US" w:eastAsia="zh-CN" w:bidi="ar"/>
        </w:rPr>
        <w:t>负</w:t>
      </w:r>
      <w:r>
        <w:rPr>
          <w:rFonts w:ascii="宋体" w:hAnsi="宋体" w:eastAsia="宋体" w:cs="宋体"/>
          <w:b w:val="0"/>
          <w:bCs w:val="0"/>
          <w:kern w:val="0"/>
          <w:sz w:val="24"/>
          <w:szCs w:val="24"/>
          <w:lang w:val="en-US" w:eastAsia="zh-CN" w:bidi="ar"/>
        </w:rPr>
        <w:t>责人</w:t>
      </w:r>
      <w:r>
        <w:rPr>
          <w:rFonts w:ascii="宋体" w:hAnsi="宋体" w:eastAsia="宋体" w:cs="宋体"/>
          <w:b w:val="0"/>
          <w:bCs w:val="0"/>
          <w:spacing w:val="-2"/>
          <w:kern w:val="0"/>
          <w:sz w:val="24"/>
          <w:szCs w:val="24"/>
          <w:lang w:val="en-US" w:eastAsia="zh-CN" w:bidi="ar"/>
        </w:rPr>
        <w:t>)</w:t>
      </w:r>
      <w:r>
        <w:rPr>
          <w:rFonts w:ascii="宋体" w:hAnsi="宋体" w:eastAsia="宋体" w:cs="宋体"/>
          <w:b w:val="0"/>
          <w:bCs w:val="0"/>
          <w:kern w:val="0"/>
          <w:sz w:val="24"/>
          <w:szCs w:val="24"/>
          <w:lang w:val="en-US" w:eastAsia="zh-CN" w:bidi="ar"/>
        </w:rPr>
        <w:t>或其授权的代理人(签字或印章)：</w:t>
      </w:r>
      <w:r>
        <w:rPr>
          <w:rFonts w:ascii="宋体" w:hAnsi="宋体" w:eastAsia="宋体" w:cs="宋体"/>
          <w:b w:val="0"/>
          <w:bCs w:val="0"/>
          <w:kern w:val="0"/>
          <w:sz w:val="24"/>
          <w:szCs w:val="24"/>
          <w:u w:val="single"/>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N/>
        <w:bidi w:val="0"/>
        <w:adjustRightInd/>
        <w:spacing w:before="0" w:beforeAutospacing="0" w:after="0" w:afterAutospacing="0" w:line="480" w:lineRule="exact"/>
        <w:ind w:left="0" w:right="0"/>
        <w:jc w:val="right"/>
        <w:textAlignment w:val="top"/>
        <w:rPr>
          <w:rFonts w:ascii="宋体" w:hAnsi="宋体" w:eastAsia="宋体" w:cs="宋体"/>
          <w:b w:val="0"/>
          <w:bCs w:val="0"/>
          <w:kern w:val="0"/>
          <w:sz w:val="24"/>
          <w:szCs w:val="24"/>
          <w:lang w:val="en-US" w:eastAsia="zh-CN" w:bidi="ar"/>
        </w:rPr>
      </w:pPr>
      <w:r>
        <w:rPr>
          <w:rFonts w:ascii="宋体" w:hAnsi="宋体" w:eastAsia="宋体" w:cs="宋体"/>
          <w:b w:val="0"/>
          <w:bCs w:val="0"/>
          <w:kern w:val="0"/>
          <w:sz w:val="24"/>
          <w:szCs w:val="24"/>
          <w:lang w:val="en-US" w:eastAsia="zh-CN" w:bidi="ar"/>
        </w:rPr>
        <w:t>日期：</w:t>
      </w:r>
      <w:r>
        <w:rPr>
          <w:rFonts w:ascii="宋体" w:hAnsi="宋体" w:eastAsia="宋体" w:cs="宋体"/>
          <w:b w:val="0"/>
          <w:bCs w:val="0"/>
          <w:kern w:val="0"/>
          <w:sz w:val="24"/>
          <w:szCs w:val="24"/>
          <w:u w:val="single"/>
          <w:lang w:val="en-US" w:eastAsia="zh-CN" w:bidi="ar"/>
        </w:rPr>
        <w:t>        </w:t>
      </w:r>
      <w:r>
        <w:rPr>
          <w:rFonts w:ascii="宋体" w:hAnsi="宋体" w:eastAsia="宋体" w:cs="宋体"/>
          <w:b w:val="0"/>
          <w:bCs w:val="0"/>
          <w:kern w:val="0"/>
          <w:sz w:val="24"/>
          <w:szCs w:val="24"/>
          <w:lang w:val="en-US" w:eastAsia="zh-CN" w:bidi="ar"/>
        </w:rPr>
        <w:t>年</w:t>
      </w:r>
      <w:r>
        <w:rPr>
          <w:rFonts w:ascii="宋体" w:hAnsi="宋体" w:eastAsia="宋体" w:cs="宋体"/>
          <w:b w:val="0"/>
          <w:bCs w:val="0"/>
          <w:kern w:val="0"/>
          <w:sz w:val="24"/>
          <w:szCs w:val="24"/>
          <w:u w:val="single"/>
          <w:lang w:val="en-US" w:eastAsia="zh-CN" w:bidi="ar"/>
        </w:rPr>
        <w:t>    </w:t>
      </w:r>
      <w:r>
        <w:rPr>
          <w:rFonts w:ascii="宋体" w:hAnsi="宋体" w:eastAsia="宋体" w:cs="宋体"/>
          <w:b w:val="0"/>
          <w:bCs w:val="0"/>
          <w:kern w:val="0"/>
          <w:sz w:val="24"/>
          <w:szCs w:val="24"/>
          <w:lang w:val="en-US" w:eastAsia="zh-CN" w:bidi="ar"/>
        </w:rPr>
        <w:t>月</w:t>
      </w:r>
      <w:r>
        <w:rPr>
          <w:rFonts w:ascii="宋体" w:hAnsi="宋体" w:eastAsia="宋体" w:cs="宋体"/>
          <w:b w:val="0"/>
          <w:bCs w:val="0"/>
          <w:kern w:val="0"/>
          <w:sz w:val="24"/>
          <w:szCs w:val="24"/>
          <w:u w:val="single"/>
          <w:lang w:val="en-US" w:eastAsia="zh-CN" w:bidi="ar"/>
        </w:rPr>
        <w:t>   </w:t>
      </w:r>
      <w:r>
        <w:rPr>
          <w:rFonts w:ascii="宋体" w:hAnsi="宋体" w:eastAsia="宋体" w:cs="宋体"/>
          <w:b w:val="0"/>
          <w:bCs w:val="0"/>
          <w:kern w:val="0"/>
          <w:sz w:val="24"/>
          <w:szCs w:val="24"/>
          <w:lang w:val="en-US" w:eastAsia="zh-CN" w:bidi="ar"/>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480" w:lineRule="exact"/>
        <w:ind w:left="0" w:right="0"/>
        <w:jc w:val="left"/>
        <w:textAlignment w:val="top"/>
        <w:rPr>
          <w:rFonts w:ascii="宋体" w:hAnsi="宋体" w:eastAsia="宋体" w:cs="宋体"/>
          <w:b w:val="0"/>
          <w:bCs w:val="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pacing w:before="0" w:beforeAutospacing="0" w:after="0" w:afterAutospacing="0" w:line="480" w:lineRule="exact"/>
        <w:ind w:left="0" w:right="0"/>
        <w:jc w:val="left"/>
        <w:textAlignment w:val="top"/>
        <w:rPr>
          <w:b w:val="0"/>
          <w:bCs w:val="0"/>
          <w:sz w:val="24"/>
          <w:szCs w:val="24"/>
        </w:rPr>
      </w:pPr>
      <w:r>
        <w:rPr>
          <w:rFonts w:ascii="宋体" w:hAnsi="宋体" w:eastAsia="宋体" w:cs="宋体"/>
          <w:b w:val="0"/>
          <w:bCs w:val="0"/>
          <w:kern w:val="0"/>
          <w:sz w:val="24"/>
          <w:szCs w:val="24"/>
          <w:lang w:val="en-US" w:eastAsia="zh-CN" w:bidi="ar"/>
        </w:rPr>
        <w:t>报价说明：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adjustRightInd/>
        <w:snapToGrid w:val="0"/>
        <w:spacing w:before="0" w:beforeAutospacing="0" w:after="0" w:afterAutospacing="0" w:line="480" w:lineRule="exact"/>
        <w:ind w:right="0"/>
        <w:jc w:val="left"/>
        <w:textAlignment w:val="top"/>
        <w:rPr>
          <w:b w:val="0"/>
          <w:bCs w:val="0"/>
          <w:sz w:val="24"/>
          <w:szCs w:val="24"/>
        </w:rPr>
      </w:pPr>
      <w:r>
        <w:rPr>
          <w:rFonts w:ascii="宋体" w:hAnsi="宋体" w:eastAsia="宋体" w:cs="宋体"/>
          <w:b w:val="0"/>
          <w:bCs w:val="0"/>
          <w:kern w:val="0"/>
          <w:sz w:val="24"/>
          <w:szCs w:val="24"/>
          <w:lang w:val="en-US" w:eastAsia="zh-CN" w:bidi="ar"/>
        </w:rPr>
        <w:t>1、供应商所报价格应包含所有费用(含运输、安装费、税金等)。其他表外内容，不得再额外收费。</w:t>
      </w:r>
    </w:p>
    <w:p>
      <w:pPr>
        <w:keepNext w:val="0"/>
        <w:keepLines w:val="0"/>
        <w:pageBreakBefore w:val="0"/>
        <w:kinsoku/>
        <w:overflowPunct/>
        <w:topLinePunct w:val="0"/>
        <w:autoSpaceDN/>
        <w:bidi w:val="0"/>
        <w:adjustRightInd/>
        <w:spacing w:beforeAutospacing="0" w:line="480" w:lineRule="exact"/>
        <w:rPr>
          <w:rFonts w:ascii="宋体" w:hAnsi="宋体" w:eastAsia="宋体" w:cs="宋体"/>
          <w:b/>
          <w:bCs/>
          <w:color w:val="000000"/>
          <w:kern w:val="0"/>
          <w:sz w:val="24"/>
          <w:szCs w:val="24"/>
          <w:lang w:val="en-US" w:eastAsia="zh-CN" w:bidi="ar"/>
        </w:rPr>
        <w:sectPr>
          <w:footerReference r:id="rId4" w:type="default"/>
          <w:pgSz w:w="11906" w:h="16838"/>
          <w:pgMar w:top="1213" w:right="1406" w:bottom="1213" w:left="1406" w:header="851" w:footer="992" w:gutter="0"/>
          <w:cols w:space="720" w:num="1"/>
          <w:docGrid w:type="lines" w:linePitch="312" w:charSpace="0"/>
        </w:sectPr>
      </w:pPr>
      <w:r>
        <w:rPr>
          <w:rFonts w:ascii="宋体" w:hAnsi="宋体" w:eastAsia="宋体" w:cs="宋体"/>
          <w:b w:val="0"/>
          <w:bCs w:val="0"/>
          <w:kern w:val="0"/>
          <w:sz w:val="24"/>
          <w:szCs w:val="24"/>
          <w:lang w:val="en-US" w:eastAsia="zh-CN" w:bidi="ar"/>
        </w:rPr>
        <w:t>2、报价采取两轮报价，第一轮报价单需单独密封和标书一起提交，第二轮报价为现场报价，价格最低者</w:t>
      </w:r>
      <w:r>
        <w:rPr>
          <w:rFonts w:hint="eastAsia" w:ascii="宋体" w:hAnsi="宋体" w:eastAsia="宋体" w:cs="宋体"/>
          <w:b w:val="0"/>
          <w:bCs w:val="0"/>
          <w:kern w:val="0"/>
          <w:sz w:val="24"/>
          <w:szCs w:val="24"/>
          <w:lang w:val="en-US" w:eastAsia="zh-CN" w:bidi="ar"/>
        </w:rPr>
        <w:t>中标</w:t>
      </w:r>
      <w:r>
        <w:rPr>
          <w:rFonts w:ascii="宋体" w:hAnsi="宋体" w:eastAsia="宋体" w:cs="宋体"/>
          <w:b w:val="0"/>
          <w:bCs w:val="0"/>
          <w:kern w:val="0"/>
          <w:sz w:val="24"/>
          <w:szCs w:val="24"/>
          <w:lang w:val="en-US" w:eastAsia="zh-CN" w:bidi="ar"/>
        </w:rPr>
        <w:t>。</w:t>
      </w:r>
      <w:r>
        <w:rPr>
          <w:rFonts w:ascii="宋体" w:hAnsi="宋体" w:eastAsia="宋体" w:cs="宋体"/>
          <w:b/>
          <w:bCs/>
          <w:color w:val="000000"/>
          <w:kern w:val="0"/>
          <w:sz w:val="24"/>
          <w:szCs w:val="24"/>
          <w:lang w:val="en-US" w:eastAsia="zh-CN" w:bidi="ar"/>
        </w:rPr>
        <w:t>最终投标价格均相同的，由评审委员会采取随机抽取方式确定排名入选。</w:t>
      </w:r>
    </w:p>
    <w:p>
      <w:pPr>
        <w:jc w:val="both"/>
        <w:rPr>
          <w:rFonts w:hint="eastAsia" w:ascii="仿宋_GB2312" w:hAnsi="仿宋_GB2312" w:eastAsia="仿宋_GB2312" w:cs="仿宋_GB2312"/>
          <w:b/>
          <w:bCs/>
          <w:sz w:val="36"/>
          <w:szCs w:val="36"/>
          <w:lang w:val="en-US" w:eastAsia="zh-CN"/>
        </w:rPr>
      </w:pPr>
      <w:r>
        <w:rPr>
          <w:rFonts w:hint="eastAsia" w:ascii="仿宋" w:hAnsi="仿宋" w:eastAsia="仿宋" w:cs="仿宋"/>
          <w:b/>
          <w:bCs/>
          <w:i w:val="0"/>
          <w:caps w:val="0"/>
          <w:color w:val="666666"/>
          <w:spacing w:val="0"/>
          <w:kern w:val="0"/>
          <w:sz w:val="30"/>
          <w:szCs w:val="30"/>
          <w:shd w:val="clear" w:fill="FFFFFF"/>
          <w:vertAlign w:val="baseline"/>
          <w:lang w:val="en-US" w:eastAsia="zh-CN" w:bidi="ar"/>
        </w:rPr>
        <w:t>附件三</w:t>
      </w:r>
      <w:r>
        <w:rPr>
          <w:rFonts w:hint="eastAsia" w:ascii="仿宋_GB2312" w:hAnsi="仿宋_GB2312" w:eastAsia="仿宋_GB2312" w:cs="仿宋_GB2312"/>
          <w:b/>
          <w:bCs/>
          <w:sz w:val="36"/>
          <w:szCs w:val="36"/>
          <w:lang w:val="en-US"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602" w:firstLineChars="20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会同县人民医院院内采购投标公司第</w:t>
      </w:r>
      <w:r>
        <w:rPr>
          <w:rFonts w:hint="eastAsia" w:ascii="仿宋" w:hAnsi="仿宋" w:eastAsia="仿宋" w:cs="仿宋"/>
          <w:b/>
          <w:bCs/>
          <w:i w:val="0"/>
          <w:caps w:val="0"/>
          <w:color w:val="666666"/>
          <w:spacing w:val="0"/>
          <w:sz w:val="30"/>
          <w:szCs w:val="30"/>
          <w:u w:val="single"/>
          <w:shd w:val="clear" w:fill="FFFFFF"/>
          <w:vertAlign w:val="baseline"/>
          <w:lang w:val="en-US" w:eastAsia="zh-CN"/>
        </w:rPr>
        <w:t>2</w:t>
      </w:r>
      <w:r>
        <w:rPr>
          <w:rFonts w:hint="eastAsia" w:ascii="仿宋" w:hAnsi="仿宋" w:eastAsia="仿宋" w:cs="仿宋"/>
          <w:b/>
          <w:bCs/>
          <w:i w:val="0"/>
          <w:caps w:val="0"/>
          <w:color w:val="666666"/>
          <w:spacing w:val="0"/>
          <w:sz w:val="30"/>
          <w:szCs w:val="30"/>
          <w:shd w:val="clear" w:fill="FFFFFF"/>
          <w:vertAlign w:val="baseline"/>
          <w:lang w:val="en-US" w:eastAsia="zh-CN"/>
        </w:rPr>
        <w:t xml:space="preserve">轮报价表 </w:t>
      </w:r>
    </w:p>
    <w:tbl>
      <w:tblPr>
        <w:tblStyle w:val="12"/>
        <w:tblW w:w="10050" w:type="dxa"/>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43"/>
        <w:gridCol w:w="3613"/>
        <w:gridCol w:w="163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2" w:hRule="atLeast"/>
        </w:trPr>
        <w:tc>
          <w:tcPr>
            <w:tcW w:w="675"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2043"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采购项目名称</w:t>
            </w:r>
          </w:p>
        </w:tc>
        <w:tc>
          <w:tcPr>
            <w:tcW w:w="3613" w:type="dxa"/>
            <w:vAlign w:val="center"/>
          </w:tcPr>
          <w:p>
            <w:pPr>
              <w:widowControl w:val="0"/>
              <w:numPr>
                <w:ilvl w:val="0"/>
                <w:numId w:val="0"/>
              </w:numPr>
              <w:jc w:val="both"/>
              <w:rPr>
                <w:rFonts w:hint="default" w:ascii="仿宋_GB2312" w:hAnsi="仿宋_GB2312" w:eastAsia="仿宋_GB2312" w:cs="仿宋_GB2312"/>
                <w:sz w:val="32"/>
                <w:szCs w:val="32"/>
                <w:vertAlign w:val="baseline"/>
                <w:lang w:val="en-US" w:eastAsia="zh-CN"/>
              </w:rPr>
            </w:pPr>
            <w:r>
              <w:rPr>
                <w:rFonts w:hint="eastAsia" w:ascii="仿宋" w:hAnsi="仿宋" w:eastAsia="仿宋" w:cs="仿宋"/>
                <w:b/>
                <w:bCs/>
                <w:color w:val="666666"/>
                <w:sz w:val="30"/>
                <w:szCs w:val="30"/>
                <w:shd w:val="clear" w:color="auto" w:fill="FFFFFF"/>
              </w:rPr>
              <w:t>信息管理系统升级改造项目</w:t>
            </w:r>
          </w:p>
        </w:tc>
        <w:tc>
          <w:tcPr>
            <w:tcW w:w="1637" w:type="dxa"/>
            <w:vAlign w:val="center"/>
          </w:tcPr>
          <w:p>
            <w:pPr>
              <w:widowControl w:val="0"/>
              <w:jc w:val="both"/>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采购编号</w:t>
            </w:r>
          </w:p>
        </w:tc>
        <w:tc>
          <w:tcPr>
            <w:tcW w:w="2082" w:type="dxa"/>
            <w:vAlign w:val="center"/>
          </w:tcPr>
          <w:p>
            <w:pPr>
              <w:widowControl w:val="0"/>
              <w:ind w:left="320" w:hanging="320" w:hangingChars="100"/>
              <w:jc w:val="both"/>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HRYYXZB2026-14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75"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2043"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供应商</w:t>
            </w:r>
          </w:p>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名称</w:t>
            </w:r>
          </w:p>
        </w:tc>
        <w:tc>
          <w:tcPr>
            <w:tcW w:w="7332" w:type="dxa"/>
            <w:gridSpan w:val="3"/>
            <w:vAlign w:val="center"/>
          </w:tcPr>
          <w:p>
            <w:pPr>
              <w:widowControl w:val="0"/>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675"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2043"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数量</w:t>
            </w:r>
          </w:p>
        </w:tc>
        <w:tc>
          <w:tcPr>
            <w:tcW w:w="7332" w:type="dxa"/>
            <w:gridSpan w:val="3"/>
            <w:vAlign w:val="center"/>
          </w:tcPr>
          <w:p>
            <w:pPr>
              <w:widowControl w:val="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8" w:hRule="atLeast"/>
        </w:trPr>
        <w:tc>
          <w:tcPr>
            <w:tcW w:w="675"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2043"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总报价</w:t>
            </w:r>
          </w:p>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人民币</w:t>
            </w:r>
          </w:p>
        </w:tc>
        <w:tc>
          <w:tcPr>
            <w:tcW w:w="7332" w:type="dxa"/>
            <w:gridSpan w:val="3"/>
            <w:vAlign w:val="center"/>
          </w:tcPr>
          <w:p>
            <w:pPr>
              <w:widowControl w:val="0"/>
              <w:jc w:val="both"/>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大写：                     元人民币整</w:t>
            </w:r>
          </w:p>
          <w:p>
            <w:pPr>
              <w:widowControl w:val="0"/>
              <w:jc w:val="both"/>
              <w:rPr>
                <w:rFonts w:hint="eastAsia" w:ascii="仿宋_GB2312" w:hAnsi="仿宋_GB2312" w:eastAsia="仿宋_GB2312" w:cs="仿宋_GB2312"/>
                <w:sz w:val="32"/>
                <w:szCs w:val="32"/>
                <w:vertAlign w:val="baseline"/>
                <w:lang w:val="en-US" w:eastAsia="zh-CN"/>
              </w:rPr>
            </w:pPr>
          </w:p>
          <w:p>
            <w:pPr>
              <w:widowControl w:val="0"/>
              <w:jc w:val="both"/>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小写：                     元人民币整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675"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2043" w:type="dxa"/>
            <w:vAlign w:val="center"/>
          </w:tcPr>
          <w:p>
            <w:pPr>
              <w:widowControl w:val="0"/>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c>
          <w:tcPr>
            <w:tcW w:w="7332" w:type="dxa"/>
            <w:gridSpan w:val="3"/>
            <w:vAlign w:val="center"/>
          </w:tcPr>
          <w:p>
            <w:pPr>
              <w:widowControl w:val="0"/>
              <w:jc w:val="center"/>
              <w:rPr>
                <w:rFonts w:hint="eastAsia" w:ascii="仿宋_GB2312" w:hAnsi="仿宋_GB2312" w:eastAsia="仿宋_GB2312" w:cs="仿宋_GB2312"/>
                <w:sz w:val="32"/>
                <w:szCs w:val="32"/>
                <w:vertAlign w:val="baseline"/>
                <w:lang w:val="en-US" w:eastAsia="zh-CN"/>
              </w:rPr>
            </w:pPr>
          </w:p>
        </w:tc>
      </w:tr>
    </w:tbl>
    <w:p>
      <w:pPr>
        <w:jc w:val="left"/>
        <w:rPr>
          <w:rFonts w:hint="eastAsia" w:ascii="仿宋_GB2312" w:hAnsi="仿宋_GB2312" w:eastAsia="仿宋_GB2312" w:cs="仿宋_GB2312"/>
          <w:sz w:val="32"/>
          <w:szCs w:val="32"/>
          <w:lang w:val="en-US" w:eastAsia="zh-CN"/>
        </w:rPr>
      </w:pPr>
    </w:p>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说明： 1、谈判结束时填写最后报价表；</w:t>
      </w:r>
    </w:p>
    <w:p>
      <w:pPr>
        <w:ind w:firstLine="960" w:firstLineChars="3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FFFFFF"/>
          <w:sz w:val="32"/>
          <w:szCs w:val="32"/>
          <w:lang w:val="en-US" w:eastAsia="zh-CN"/>
        </w:rPr>
        <w:t>1</w:t>
      </w:r>
      <w:r>
        <w:rPr>
          <w:rFonts w:hint="eastAsia" w:ascii="仿宋_GB2312" w:hAnsi="仿宋_GB2312" w:eastAsia="仿宋_GB2312" w:cs="仿宋_GB2312"/>
          <w:sz w:val="32"/>
          <w:szCs w:val="32"/>
          <w:lang w:val="en-US" w:eastAsia="zh-CN"/>
        </w:rPr>
        <w:t>2、供应商将本表盖章签字后带空白表参加谈判会；</w:t>
      </w:r>
    </w:p>
    <w:p>
      <w:pPr>
        <w:numPr>
          <w:ilvl w:val="0"/>
          <w:numId w:val="0"/>
        </w:numPr>
        <w:ind w:left="720" w:leftChars="0" w:firstLine="280" w:firstLineChars="1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FFFFFF"/>
          <w:sz w:val="28"/>
          <w:szCs w:val="28"/>
          <w:lang w:val="en-US" w:eastAsia="zh-CN"/>
        </w:rPr>
        <w:t>1</w:t>
      </w:r>
      <w:r>
        <w:rPr>
          <w:rFonts w:hint="eastAsia" w:ascii="仿宋_GB2312" w:hAnsi="仿宋_GB2312" w:eastAsia="仿宋_GB2312" w:cs="仿宋_GB2312"/>
          <w:sz w:val="32"/>
          <w:szCs w:val="32"/>
          <w:lang w:val="en-US" w:eastAsia="zh-CN"/>
        </w:rPr>
        <w:t>3、本表不要装订在响应文件内。</w:t>
      </w:r>
    </w:p>
    <w:p>
      <w:pPr>
        <w:numPr>
          <w:ilvl w:val="0"/>
          <w:numId w:val="0"/>
        </w:numPr>
        <w:ind w:firstLine="2240" w:firstLineChars="7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法定代表人或其委托代理人签字：</w:t>
      </w:r>
    </w:p>
    <w:p>
      <w:pPr>
        <w:pStyle w:val="10"/>
        <w:ind w:firstLine="5440" w:firstLineChars="1700"/>
        <w:rPr>
          <w:rFonts w:hint="default"/>
          <w:lang w:val="en-US" w:eastAsia="zh-CN"/>
        </w:rPr>
      </w:pPr>
      <w:r>
        <w:rPr>
          <w:rFonts w:hint="eastAsia" w:ascii="仿宋_GB2312" w:hAnsi="仿宋_GB2312" w:eastAsia="仿宋_GB2312" w:cs="仿宋_GB2312"/>
          <w:sz w:val="32"/>
          <w:szCs w:val="32"/>
          <w:lang w:val="en-US" w:eastAsia="zh-CN"/>
        </w:rPr>
        <w:t>年   月    日</w:t>
      </w:r>
    </w:p>
    <w:p>
      <w:pPr>
        <w:pStyle w:val="4"/>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eastAsia" w:ascii="仿宋" w:hAnsi="仿宋" w:eastAsia="仿宋" w:cs="仿宋"/>
          <w:b/>
          <w:bCs/>
          <w:i w:val="0"/>
          <w:caps w:val="0"/>
          <w:color w:val="666666"/>
          <w:spacing w:val="0"/>
          <w:sz w:val="30"/>
          <w:szCs w:val="30"/>
          <w:shd w:val="clear" w:fill="FFFFFF"/>
          <w:vertAlign w:val="baseli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textAlignment w:val="baseline"/>
        <w:rPr>
          <w:rFonts w:hint="default" w:ascii="仿宋" w:hAnsi="仿宋" w:eastAsia="仿宋" w:cs="仿宋"/>
          <w:b/>
          <w:bCs/>
          <w:i w:val="0"/>
          <w:caps w:val="0"/>
          <w:color w:val="666666"/>
          <w:spacing w:val="0"/>
          <w:sz w:val="30"/>
          <w:szCs w:val="30"/>
          <w:shd w:val="clear" w:fill="FFFFFF"/>
          <w:vertAlign w:val="baseline"/>
          <w:lang w:val="en-US" w:eastAsia="zh-CN"/>
        </w:rPr>
      </w:pPr>
      <w:r>
        <w:rPr>
          <w:rFonts w:hint="eastAsia" w:ascii="仿宋" w:hAnsi="仿宋" w:eastAsia="仿宋" w:cs="仿宋"/>
          <w:b/>
          <w:bCs/>
          <w:i w:val="0"/>
          <w:caps w:val="0"/>
          <w:color w:val="666666"/>
          <w:spacing w:val="0"/>
          <w:sz w:val="30"/>
          <w:szCs w:val="30"/>
          <w:shd w:val="clear" w:fill="FFFFFF"/>
          <w:vertAlign w:val="baseline"/>
          <w:lang w:val="en-US" w:eastAsia="zh-CN"/>
        </w:rPr>
        <w:t>附件四：</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right="0" w:rightChars="0" w:firstLine="1807" w:firstLineChars="600"/>
        <w:textAlignment w:val="baseline"/>
        <w:rPr>
          <w:rFonts w:hint="eastAsia" w:ascii="仿宋" w:hAnsi="仿宋" w:eastAsia="仿宋" w:cs="仿宋"/>
          <w:b/>
          <w:bCs/>
          <w:i w:val="0"/>
          <w:caps w:val="0"/>
          <w:color w:val="666666"/>
          <w:spacing w:val="0"/>
          <w:sz w:val="30"/>
          <w:szCs w:val="30"/>
          <w:shd w:val="clear" w:fill="FFFFFF"/>
          <w:vertAlign w:val="baseline"/>
        </w:rPr>
      </w:pPr>
      <w:r>
        <w:rPr>
          <w:rFonts w:hint="eastAsia" w:ascii="仿宋" w:hAnsi="仿宋" w:eastAsia="仿宋" w:cs="仿宋"/>
          <w:b/>
          <w:bCs/>
          <w:i w:val="0"/>
          <w:caps w:val="0"/>
          <w:color w:val="666666"/>
          <w:spacing w:val="0"/>
          <w:sz w:val="30"/>
          <w:szCs w:val="30"/>
          <w:shd w:val="clear" w:fill="FFFFFF"/>
          <w:vertAlign w:val="baseline"/>
        </w:rPr>
        <w:t>投标人资格声明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致(</w:t>
      </w:r>
      <w:r>
        <w:rPr>
          <w:rFonts w:hint="eastAsia" w:ascii="仿宋" w:hAnsi="仿宋" w:eastAsia="仿宋" w:cs="仿宋"/>
          <w:i w:val="0"/>
          <w:caps w:val="0"/>
          <w:color w:val="666666"/>
          <w:spacing w:val="0"/>
          <w:sz w:val="30"/>
          <w:szCs w:val="30"/>
          <w:shd w:val="clear" w:fill="FFFFFF"/>
          <w:vertAlign w:val="baseline"/>
          <w:lang w:eastAsia="zh-CN"/>
        </w:rPr>
        <w:t>采购</w:t>
      </w:r>
      <w:r>
        <w:rPr>
          <w:rFonts w:hint="eastAsia" w:ascii="仿宋" w:hAnsi="仿宋" w:eastAsia="仿宋" w:cs="仿宋"/>
          <w:i w:val="0"/>
          <w:caps w:val="0"/>
          <w:color w:val="666666"/>
          <w:spacing w:val="0"/>
          <w:sz w:val="30"/>
          <w:szCs w:val="30"/>
          <w:shd w:val="clear" w:fill="FFFFFF"/>
          <w:vertAlign w:val="baseline"/>
        </w:rPr>
        <w:t>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按照</w:t>
      </w:r>
      <w:r>
        <w:rPr>
          <w:rFonts w:hint="eastAsia" w:ascii="仿宋" w:hAnsi="仿宋" w:eastAsia="仿宋" w:cs="仿宋"/>
          <w:i w:val="0"/>
          <w:caps w:val="0"/>
          <w:color w:val="666666"/>
          <w:spacing w:val="0"/>
          <w:sz w:val="30"/>
          <w:szCs w:val="30"/>
          <w:shd w:val="clear" w:fill="FFFFFF"/>
          <w:vertAlign w:val="baseline"/>
          <w:lang w:eastAsia="zh-CN"/>
        </w:rPr>
        <w:t>遴选文件</w:t>
      </w:r>
      <w:r>
        <w:rPr>
          <w:rFonts w:hint="eastAsia" w:ascii="仿宋" w:hAnsi="仿宋" w:eastAsia="仿宋" w:cs="仿宋"/>
          <w:i w:val="0"/>
          <w:caps w:val="0"/>
          <w:color w:val="666666"/>
          <w:spacing w:val="0"/>
          <w:sz w:val="30"/>
          <w:szCs w:val="30"/>
          <w:shd w:val="clear" w:fill="FFFFFF"/>
          <w:vertAlign w:val="baseline"/>
        </w:rPr>
        <w:t>的规定，我单位郑重声明如下：</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一、我单位是按照中华人民共和国法律规定登记注册的，注册地点为      ，全称为      ，统一社会信用代码为      ，法定代表人为      ，具有独立承担民事责任的能力。</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二、我单位具有良好的商业信誉和健全的财务会计制度。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三、我单位具有履行本项目采购合同所必需的设备和专业技术能力。</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四、我单位在参加本</w:t>
      </w:r>
      <w:r>
        <w:rPr>
          <w:rFonts w:hint="eastAsia" w:ascii="仿宋" w:hAnsi="仿宋" w:eastAsia="仿宋" w:cs="仿宋"/>
          <w:i w:val="0"/>
          <w:caps w:val="0"/>
          <w:color w:val="666666"/>
          <w:spacing w:val="0"/>
          <w:sz w:val="30"/>
          <w:szCs w:val="30"/>
          <w:shd w:val="clear" w:fill="FFFFFF"/>
          <w:vertAlign w:val="baseline"/>
          <w:lang w:val="en-US" w:eastAsia="zh-CN"/>
        </w:rPr>
        <w:t>遴选</w:t>
      </w:r>
      <w:r>
        <w:rPr>
          <w:rFonts w:hint="eastAsia" w:ascii="仿宋" w:hAnsi="仿宋" w:eastAsia="仿宋" w:cs="仿宋"/>
          <w:i w:val="0"/>
          <w:caps w:val="0"/>
          <w:color w:val="666666"/>
          <w:spacing w:val="0"/>
          <w:sz w:val="30"/>
          <w:szCs w:val="30"/>
          <w:shd w:val="clear" w:fill="FFFFFF"/>
          <w:vertAlign w:val="baseline"/>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五、我单位具备法律、行政法规规定的其他条件。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六、与我单位存在“单位负责人为同一人或者存在直接控股、管理关系”的其他法人单位信息如下（如无，填写“无”）：</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1、与我单位的法定代表人（单位负责人）为同一人的其他法人单位如下：</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2、我单位直接控股的其他法人单位如下：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 xml:space="preserve">3、与我单位存在管理关系的其他法人单位如下：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我单位保证上述声明的事项都是真实的，如有虚假，我单位愿意承担相应的法律责任，并承担因此所造成的一切损失。</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我单位保证随时按照要求提供能够证明上述声明事项真实性的任何有效文件。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投标人名称（盖单位公章）：</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lang w:val="en-US" w:eastAsia="zh-CN"/>
        </w:rPr>
      </w:pPr>
      <w:r>
        <w:rPr>
          <w:rFonts w:hint="eastAsia" w:ascii="仿宋" w:hAnsi="仿宋" w:eastAsia="仿宋" w:cs="仿宋"/>
          <w:i w:val="0"/>
          <w:caps w:val="0"/>
          <w:color w:val="666666"/>
          <w:spacing w:val="0"/>
          <w:sz w:val="30"/>
          <w:szCs w:val="30"/>
          <w:shd w:val="clear" w:fill="FFFFFF"/>
          <w:vertAlign w:val="baseline"/>
          <w:lang w:val="en-US" w:eastAsia="zh-CN"/>
        </w:rPr>
        <w:t xml:space="preserve">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450" w:firstLineChars="11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法定代表人或委托代理人（签字）：</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eastAsia" w:ascii="仿宋" w:hAnsi="仿宋" w:eastAsia="仿宋" w:cs="仿宋"/>
          <w:i w:val="0"/>
          <w:caps w:val="0"/>
          <w:color w:val="666666"/>
          <w:spacing w:val="0"/>
          <w:sz w:val="30"/>
          <w:szCs w:val="30"/>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3750" w:firstLineChars="1250"/>
        <w:textAlignment w:val="baseline"/>
        <w:rPr>
          <w:rFonts w:hint="eastAsia" w:ascii="仿宋" w:hAnsi="仿宋" w:eastAsia="仿宋" w:cs="仿宋"/>
          <w:i w:val="0"/>
          <w:caps w:val="0"/>
          <w:color w:val="666666"/>
          <w:spacing w:val="0"/>
          <w:sz w:val="30"/>
          <w:szCs w:val="30"/>
          <w:shd w:val="clear" w:fill="FFFFFF"/>
          <w:vertAlign w:val="baseline"/>
        </w:rPr>
      </w:pPr>
      <w:r>
        <w:rPr>
          <w:rFonts w:hint="eastAsia" w:ascii="仿宋" w:hAnsi="仿宋" w:eastAsia="仿宋" w:cs="仿宋"/>
          <w:i w:val="0"/>
          <w:caps w:val="0"/>
          <w:color w:val="666666"/>
          <w:spacing w:val="0"/>
          <w:sz w:val="30"/>
          <w:szCs w:val="30"/>
          <w:shd w:val="clear" w:fill="FFFFFF"/>
          <w:vertAlign w:val="baseline"/>
        </w:rPr>
        <w:t>日期：    年    月    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rightChars="0" w:firstLine="150" w:firstLineChars="50"/>
        <w:textAlignment w:val="baseline"/>
        <w:rPr>
          <w:rFonts w:hint="default" w:ascii="仿宋" w:hAnsi="仿宋" w:eastAsia="仿宋" w:cs="仿宋"/>
          <w:i w:val="0"/>
          <w:caps w:val="0"/>
          <w:color w:val="666666"/>
          <w:spacing w:val="0"/>
          <w:sz w:val="30"/>
          <w:szCs w:val="30"/>
          <w:shd w:val="clear" w:fill="FFFFFF"/>
          <w:vertAlign w:val="baseline"/>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beforeAutospacing="0" w:after="0" w:afterAutospacing="0" w:line="240" w:lineRule="auto"/>
        <w:ind w:left="0" w:right="0" w:rightChars="0" w:firstLine="280" w:firstLineChars="100"/>
        <w:jc w:val="both"/>
        <w:textAlignment w:val="top"/>
        <w:outlineLvl w:val="9"/>
        <w:rPr>
          <w:rFonts w:hint="eastAsia" w:ascii="仿宋" w:hAnsi="仿宋" w:eastAsia="仿宋" w:cs="仿宋"/>
          <w:sz w:val="28"/>
          <w:szCs w:val="28"/>
        </w:rPr>
      </w:pPr>
    </w:p>
    <w:p/>
    <w:p>
      <w:pPr>
        <w:pStyle w:val="2"/>
      </w:pPr>
    </w:p>
    <w:p>
      <w:pPr>
        <w:pStyle w:val="4"/>
      </w:pPr>
    </w:p>
    <w:p/>
    <w:p>
      <w:pPr>
        <w:pStyle w:val="2"/>
      </w:pPr>
    </w:p>
    <w:p>
      <w:pPr>
        <w:pStyle w:val="4"/>
      </w:pPr>
    </w:p>
    <w:p/>
    <w:p>
      <w:pPr>
        <w:pStyle w:val="2"/>
      </w:pPr>
    </w:p>
    <w:p>
      <w:pPr>
        <w:pStyle w:val="4"/>
      </w:pPr>
    </w:p>
    <w:p/>
    <w:p>
      <w:pPr>
        <w:pStyle w:val="2"/>
      </w:pPr>
    </w:p>
    <w:p>
      <w:pPr>
        <w:pStyle w:val="4"/>
      </w:pPr>
    </w:p>
    <w:p/>
    <w:p>
      <w:pPr>
        <w:pStyle w:val="4"/>
        <w:ind w:left="0" w:leftChars="0" w:firstLine="0" w:firstLineChars="0"/>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A8199F"/>
    <w:multiLevelType w:val="multilevel"/>
    <w:tmpl w:val="57A8199F"/>
    <w:lvl w:ilvl="0" w:tentative="0">
      <w:start w:val="1"/>
      <w:numFmt w:val="japaneseCounting"/>
      <w:lvlText w:val="%1、"/>
      <w:lvlJc w:val="left"/>
      <w:pPr>
        <w:ind w:left="870" w:hanging="720"/>
      </w:pPr>
      <w:rPr>
        <w:rFonts w:hint="default"/>
      </w:rPr>
    </w:lvl>
    <w:lvl w:ilvl="1" w:tentative="0">
      <w:start w:val="1"/>
      <w:numFmt w:val="lowerLetter"/>
      <w:lvlText w:val="%2)"/>
      <w:lvlJc w:val="left"/>
      <w:pPr>
        <w:ind w:left="1030" w:hanging="440"/>
      </w:pPr>
    </w:lvl>
    <w:lvl w:ilvl="2" w:tentative="0">
      <w:start w:val="1"/>
      <w:numFmt w:val="lowerRoman"/>
      <w:lvlText w:val="%3."/>
      <w:lvlJc w:val="right"/>
      <w:pPr>
        <w:ind w:left="1470" w:hanging="440"/>
      </w:pPr>
    </w:lvl>
    <w:lvl w:ilvl="3" w:tentative="0">
      <w:start w:val="1"/>
      <w:numFmt w:val="decimal"/>
      <w:lvlText w:val="%4."/>
      <w:lvlJc w:val="left"/>
      <w:pPr>
        <w:ind w:left="1910" w:hanging="440"/>
      </w:pPr>
    </w:lvl>
    <w:lvl w:ilvl="4" w:tentative="0">
      <w:start w:val="1"/>
      <w:numFmt w:val="lowerLetter"/>
      <w:lvlText w:val="%5)"/>
      <w:lvlJc w:val="left"/>
      <w:pPr>
        <w:ind w:left="2350" w:hanging="440"/>
      </w:pPr>
    </w:lvl>
    <w:lvl w:ilvl="5" w:tentative="0">
      <w:start w:val="1"/>
      <w:numFmt w:val="lowerRoman"/>
      <w:lvlText w:val="%6."/>
      <w:lvlJc w:val="right"/>
      <w:pPr>
        <w:ind w:left="2790" w:hanging="440"/>
      </w:pPr>
    </w:lvl>
    <w:lvl w:ilvl="6" w:tentative="0">
      <w:start w:val="1"/>
      <w:numFmt w:val="decimal"/>
      <w:lvlText w:val="%7."/>
      <w:lvlJc w:val="left"/>
      <w:pPr>
        <w:ind w:left="3230" w:hanging="440"/>
      </w:pPr>
    </w:lvl>
    <w:lvl w:ilvl="7" w:tentative="0">
      <w:start w:val="1"/>
      <w:numFmt w:val="lowerLetter"/>
      <w:lvlText w:val="%8)"/>
      <w:lvlJc w:val="left"/>
      <w:pPr>
        <w:ind w:left="3670" w:hanging="440"/>
      </w:pPr>
    </w:lvl>
    <w:lvl w:ilvl="8" w:tentative="0">
      <w:start w:val="1"/>
      <w:numFmt w:val="lowerRoman"/>
      <w:lvlText w:val="%9."/>
      <w:lvlJc w:val="right"/>
      <w:pPr>
        <w:ind w:left="411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BA7C84"/>
    <w:rsid w:val="0061327A"/>
    <w:rsid w:val="042E6D1A"/>
    <w:rsid w:val="046F1FA3"/>
    <w:rsid w:val="04B4090C"/>
    <w:rsid w:val="07F64558"/>
    <w:rsid w:val="0A037876"/>
    <w:rsid w:val="0B5B1AAE"/>
    <w:rsid w:val="0BB93FD0"/>
    <w:rsid w:val="0D3E0D3D"/>
    <w:rsid w:val="0D6F1D69"/>
    <w:rsid w:val="0F0079FF"/>
    <w:rsid w:val="0F374490"/>
    <w:rsid w:val="0F5C24B4"/>
    <w:rsid w:val="11326859"/>
    <w:rsid w:val="115E2D6B"/>
    <w:rsid w:val="1179651E"/>
    <w:rsid w:val="11D1502A"/>
    <w:rsid w:val="12584586"/>
    <w:rsid w:val="127C1E80"/>
    <w:rsid w:val="1340660F"/>
    <w:rsid w:val="13A84996"/>
    <w:rsid w:val="13C16602"/>
    <w:rsid w:val="17234412"/>
    <w:rsid w:val="182C3CBB"/>
    <w:rsid w:val="1AC30EDC"/>
    <w:rsid w:val="1B9F47A0"/>
    <w:rsid w:val="1C8A7F7D"/>
    <w:rsid w:val="1E7C48DC"/>
    <w:rsid w:val="1F125082"/>
    <w:rsid w:val="1F9A6BBC"/>
    <w:rsid w:val="21155149"/>
    <w:rsid w:val="25865D3E"/>
    <w:rsid w:val="263F407E"/>
    <w:rsid w:val="26AF6C1E"/>
    <w:rsid w:val="26B7766A"/>
    <w:rsid w:val="27112F7C"/>
    <w:rsid w:val="27B20F5C"/>
    <w:rsid w:val="27C07800"/>
    <w:rsid w:val="28CF486D"/>
    <w:rsid w:val="2F610A6A"/>
    <w:rsid w:val="31BA7C84"/>
    <w:rsid w:val="32136F05"/>
    <w:rsid w:val="33DE1E44"/>
    <w:rsid w:val="364B2F27"/>
    <w:rsid w:val="36A10E37"/>
    <w:rsid w:val="374B77AD"/>
    <w:rsid w:val="38AC0BDF"/>
    <w:rsid w:val="391E32E9"/>
    <w:rsid w:val="3A9453E8"/>
    <w:rsid w:val="3B4E6CD0"/>
    <w:rsid w:val="3B532FA0"/>
    <w:rsid w:val="3B6C495E"/>
    <w:rsid w:val="3CE93EFA"/>
    <w:rsid w:val="3D121D87"/>
    <w:rsid w:val="410A6C5F"/>
    <w:rsid w:val="4164322B"/>
    <w:rsid w:val="42902E1A"/>
    <w:rsid w:val="43BF634B"/>
    <w:rsid w:val="45517FA3"/>
    <w:rsid w:val="46426D4A"/>
    <w:rsid w:val="472253E6"/>
    <w:rsid w:val="47F131EE"/>
    <w:rsid w:val="4D1B2F97"/>
    <w:rsid w:val="4D370022"/>
    <w:rsid w:val="51251D71"/>
    <w:rsid w:val="53516175"/>
    <w:rsid w:val="54AC78B3"/>
    <w:rsid w:val="58D07B0F"/>
    <w:rsid w:val="5B356C0F"/>
    <w:rsid w:val="600A215C"/>
    <w:rsid w:val="623A0335"/>
    <w:rsid w:val="64942605"/>
    <w:rsid w:val="65F272D1"/>
    <w:rsid w:val="67D43593"/>
    <w:rsid w:val="6802220A"/>
    <w:rsid w:val="682267BB"/>
    <w:rsid w:val="6BFF6CF6"/>
    <w:rsid w:val="6E256F74"/>
    <w:rsid w:val="701C4B60"/>
    <w:rsid w:val="72951FA0"/>
    <w:rsid w:val="76156B1B"/>
    <w:rsid w:val="770D52BE"/>
    <w:rsid w:val="7B2F4CA5"/>
    <w:rsid w:val="7BCF7DED"/>
    <w:rsid w:val="7BFF6EB5"/>
    <w:rsid w:val="7D8B1768"/>
    <w:rsid w:val="7DC63A44"/>
    <w:rsid w:val="7F270F15"/>
    <w:rsid w:val="7F4D7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style>
  <w:style w:type="paragraph" w:styleId="4">
    <w:name w:val="Normal Indent"/>
    <w:basedOn w:val="1"/>
    <w:next w:val="1"/>
    <w:qFormat/>
    <w:uiPriority w:val="0"/>
    <w:pPr>
      <w:tabs>
        <w:tab w:val="left" w:pos="112"/>
      </w:tabs>
      <w:snapToGrid w:val="0"/>
      <w:spacing w:line="300" w:lineRule="auto"/>
      <w:ind w:firstLine="420"/>
      <w:jc w:val="left"/>
      <w:textAlignment w:val="top"/>
    </w:pPr>
    <w:rPr>
      <w:rFonts w:ascii="宋体"/>
      <w:sz w:val="28"/>
      <w:szCs w:val="20"/>
    </w:rPr>
  </w:style>
  <w:style w:type="paragraph" w:styleId="7">
    <w:name w:val="toa heading"/>
    <w:basedOn w:val="1"/>
    <w:next w:val="1"/>
    <w:qFormat/>
    <w:uiPriority w:val="0"/>
    <w:pPr>
      <w:spacing w:before="120"/>
    </w:pPr>
    <w:rPr>
      <w:rFonts w:ascii="Cambria" w:hAnsi="Cambria" w:eastAsia="仿宋" w:cs="Times New Roman"/>
      <w:sz w:val="28"/>
      <w:szCs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toc 1"/>
    <w:basedOn w:val="1"/>
    <w:next w:val="1"/>
    <w:qFormat/>
    <w:uiPriority w:val="0"/>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3766</Words>
  <Characters>3947</Characters>
  <Lines>0</Lines>
  <Paragraphs>0</Paragraphs>
  <TotalTime>5</TotalTime>
  <ScaleCrop>false</ScaleCrop>
  <LinksUpToDate>false</LinksUpToDate>
  <CharactersWithSpaces>4185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2026-03-13T02:23:00Z</dcterms:created>
  <dc:creator>Administrator</dc:creator>
  <cp:lastModifiedBy>HONOR</cp:lastModifiedBy>
  <cp:lastPrinted>2026-04-16T03:39:00Z</cp:lastPrinted>
  <dcterms:modified xsi:type="dcterms:W3CDTF">2026-07-16T09:30:07Z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eyJoZGlkIjoiZWVhYjE2OTQ5M2IzNDgyMGFhY2NlMGJiNTdlYjM4M2IiLCJ1c2VySWQiOiIyODYyMzkzMjAifQ==</vt:lpwstr>
  </property>
  <property fmtid="{D5CDD505-2E9C-101B-9397-08002B2CF9AE}" pid="4" name="ICV">
    <vt:lpwstr>7586996372FE4E87B64DDAF7CE7FAE1D</vt:lpwstr>
  </property>
</Properties>
</file>