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附件一</w:t>
      </w:r>
    </w:p>
    <w:p>
      <w:pPr>
        <w:snapToGrid w:val="0"/>
        <w:spacing w:line="360" w:lineRule="auto"/>
        <w:ind w:firstLine="800" w:firstLineChars="200"/>
        <w:jc w:val="left"/>
        <w:rPr>
          <w:rFonts w:hint="eastAsia" w:ascii="宋体" w:hAnsi="宋体" w:eastAsia="宋体" w:cs="宋体"/>
          <w:b w:val="0"/>
          <w:bCs w:val="0"/>
          <w:sz w:val="40"/>
          <w:szCs w:val="40"/>
          <w:lang w:val="en-US" w:eastAsia="zh-CN"/>
        </w:rPr>
      </w:pPr>
      <w:bookmarkStart w:id="0" w:name="_GoBack"/>
      <w:r>
        <w:rPr>
          <w:rFonts w:hint="eastAsia" w:ascii="宋体" w:hAnsi="宋体" w:eastAsia="宋体" w:cs="宋体"/>
          <w:b w:val="0"/>
          <w:bCs w:val="0"/>
          <w:sz w:val="40"/>
          <w:szCs w:val="40"/>
          <w:lang w:val="en-US" w:eastAsia="zh-CN"/>
        </w:rPr>
        <w:t>洁净电热蒸汽发生器采购需求</w:t>
      </w:r>
      <w:bookmarkEnd w:id="0"/>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一、技术参数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1、本设备主要承担消毒供应中心脉动真空灭菌器、全自动清洗消毒器等关键设备所需的洁净蒸汽供给。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2、设备主体采用优质不锈钢无缝钢管材质，通过多管贯流式结构设计，运用气体保护焊接技术精心打造。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rPr>
        <w:t>★</w:t>
      </w:r>
      <w:r>
        <w:rPr>
          <w:rFonts w:hint="eastAsia" w:ascii="仿宋" w:hAnsi="仿宋" w:eastAsia="仿宋" w:cs="仿宋"/>
          <w:i w:val="0"/>
          <w:caps w:val="0"/>
          <w:color w:val="666666"/>
          <w:spacing w:val="0"/>
          <w:sz w:val="30"/>
          <w:szCs w:val="30"/>
          <w:shd w:val="clear" w:fill="FFFFFF"/>
          <w:vertAlign w:val="baseline"/>
          <w:lang w:val="en-US" w:eastAsia="zh-CN"/>
        </w:rPr>
        <w:t>3、功率≤120Kw，产汽量≥160Kg/h。</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4、从开机到加热至额定压力(0.65MPa)，仅需5分钟。</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▲5、水容积＜50L,属于D级锅炉（提供设备铭牌）。</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6、设计压力≥0.7Mpa、设计温度≥170℃,确保设备运行的安全性和稳定性。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7、水源供应:纯水，电导率≤5us/cm。</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8、显示系统：≥3.2英寸液晶屏，提供温度、压力、时间、运行状态、故障报警显示。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9、液位计采用磁翻板液位计（提供设备实物照片），确保测量精度高，安全性能稳定。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▲10、设备面板设有电源、运行、注水、加热、报警等状态指示灯，并配备应急手工注水按钮（提供设备实物照片）。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11、急停功能：设备操作端设有急停按钮，通过分离脱扣机制可迅速切断设备总电源。</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12、排污功能：采用自动排污与手动排污相结合的双排污系统，有效提升蒸汽洁净度；排污周期时间可根据实际需要进行调节。</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13、在标准要求上，本设备严格符合 WS310-2016 及 GB8599 医用蒸汽冷凝水水质标准。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14、配置要求，本设备包括主机 1 台、安全阀 1 个、压力表 1 个。</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▲15、服务要求：产品制造商应具备特种设备生产许可证，并提供许可范围须包含压力容器制造及工业管道安装资质该许可证的复印件佐证。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16、中标供应商负责老设备拆除及新设备安装所需要的给排水管路、蒸汽管道、配电电缆的改造，并负责首次使用安全阀及压力表的校检工作。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二、评分标准</w:t>
      </w:r>
    </w:p>
    <w:tbl>
      <w:tblPr>
        <w:tblStyle w:val="14"/>
        <w:tblW w:w="8436" w:type="dxa"/>
        <w:jc w:val="center"/>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1551"/>
        <w:gridCol w:w="887"/>
        <w:gridCol w:w="660"/>
        <w:gridCol w:w="5338"/>
      </w:tblGrid>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8436" w:type="dxa"/>
            <w:gridSpan w:val="4"/>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评审因素及权值</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2438" w:type="dxa"/>
            <w:gridSpan w:val="2"/>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评审因素</w:t>
            </w:r>
          </w:p>
        </w:tc>
        <w:tc>
          <w:tcPr>
            <w:tcW w:w="5998" w:type="dxa"/>
            <w:gridSpan w:val="2"/>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权值范围</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2438" w:type="dxa"/>
            <w:gridSpan w:val="2"/>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价格部分</w:t>
            </w:r>
          </w:p>
        </w:tc>
        <w:tc>
          <w:tcPr>
            <w:tcW w:w="5998" w:type="dxa"/>
            <w:gridSpan w:val="2"/>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0.3</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2438" w:type="dxa"/>
            <w:gridSpan w:val="2"/>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技术部分</w:t>
            </w:r>
          </w:p>
        </w:tc>
        <w:tc>
          <w:tcPr>
            <w:tcW w:w="5998" w:type="dxa"/>
            <w:gridSpan w:val="2"/>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eastAsia="zh-CN"/>
              </w:rPr>
            </w:pPr>
            <w:r>
              <w:rPr>
                <w:rFonts w:hint="eastAsia" w:ascii="仿宋" w:hAnsi="仿宋" w:eastAsia="仿宋" w:cs="仿宋"/>
                <w:i w:val="0"/>
                <w:caps w:val="0"/>
                <w:color w:val="666666"/>
                <w:spacing w:val="0"/>
                <w:sz w:val="30"/>
                <w:szCs w:val="30"/>
                <w:shd w:val="clear" w:fill="FFFFFF"/>
                <w:vertAlign w:val="baseline"/>
              </w:rPr>
              <w:t>0.</w:t>
            </w:r>
            <w:r>
              <w:rPr>
                <w:rFonts w:hint="eastAsia" w:ascii="仿宋" w:hAnsi="仿宋" w:eastAsia="仿宋" w:cs="仿宋"/>
                <w:i w:val="0"/>
                <w:caps w:val="0"/>
                <w:color w:val="666666"/>
                <w:spacing w:val="0"/>
                <w:sz w:val="30"/>
                <w:szCs w:val="30"/>
                <w:shd w:val="clear" w:fill="FFFFFF"/>
                <w:vertAlign w:val="baseline"/>
                <w:lang w:val="en-US" w:eastAsia="zh-CN"/>
              </w:rPr>
              <w:t>6</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2438" w:type="dxa"/>
            <w:gridSpan w:val="2"/>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商务部分</w:t>
            </w:r>
          </w:p>
        </w:tc>
        <w:tc>
          <w:tcPr>
            <w:tcW w:w="5998" w:type="dxa"/>
            <w:gridSpan w:val="2"/>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0.1</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8436" w:type="dxa"/>
            <w:gridSpan w:val="4"/>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综合评分表</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1551"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评审因素</w:t>
            </w:r>
          </w:p>
        </w:tc>
        <w:tc>
          <w:tcPr>
            <w:tcW w:w="887"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计分因素</w:t>
            </w:r>
          </w:p>
        </w:tc>
        <w:tc>
          <w:tcPr>
            <w:tcW w:w="660"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分值</w:t>
            </w:r>
          </w:p>
        </w:tc>
        <w:tc>
          <w:tcPr>
            <w:tcW w:w="5338" w:type="dxa"/>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计分标准</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1551"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价格部分(F3、满分为 100 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887"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投标报价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660"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100</w:t>
            </w:r>
          </w:p>
        </w:tc>
        <w:tc>
          <w:tcPr>
            <w:tcW w:w="5338" w:type="dxa"/>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价格分应当采用低价优先法计算，即满足招标文件要求且投标价格最低的投标报价为评标基准价，其价格分为满分（报价权重分）。其他投标人的价格分统一按照下列公式计算：投标报价得分=（评标基准价／投标报价）×报价权重分评标委员会认为投标人的报价明显低于其他通过符合性审查投标人的报价，有可能影响产品质量或者不能诚信履约的,应当要求其在评标现场合理的时间内(30 分钟内)提供书面说明,必要时提交相关证明材料；投标人不能证明其报价合理性的,评标委员会应当将其作为无效投标处理。</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1551" w:type="dxa"/>
            <w:vMerge w:val="restart"/>
            <w:tcBorders>
              <w:top w:val="single" w:color="auto" w:sz="4" w:space="0"/>
              <w:left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技术部分（F1、满分为 100 分）</w:t>
            </w:r>
          </w:p>
        </w:tc>
        <w:tc>
          <w:tcPr>
            <w:tcW w:w="887" w:type="dxa"/>
            <w:vMerge w:val="restart"/>
            <w:tcBorders>
              <w:top w:val="single" w:color="auto" w:sz="4" w:space="0"/>
              <w:left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技术参数响应</w:t>
            </w:r>
          </w:p>
        </w:tc>
        <w:tc>
          <w:tcPr>
            <w:tcW w:w="660"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90</w:t>
            </w:r>
          </w:p>
        </w:tc>
        <w:tc>
          <w:tcPr>
            <w:tcW w:w="5338" w:type="dxa"/>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投标人所投产品技术条款及商务条款符合招标文件要求的，计100分；重要参数（▲条款）有负偏离的（包括：配置不详、提供的证明资料欠缺，技术参数描述不清楚或有负偏离、技术响应缺漏项，视同负偏离处理），每一项扣 10 分，扣完为止；一般参数（非“★”和非“▲”条款）有负偏离的（包括： 配置不详、技术参数描述不清楚或有负偏离、技术响应缺漏项，视同负偏离处理）， 每一项扣 5 分，扣完为止；</w:t>
            </w:r>
            <w:r>
              <w:rPr>
                <w:rFonts w:hint="eastAsia" w:ascii="仿宋" w:hAnsi="仿宋" w:eastAsia="仿宋" w:cs="仿宋"/>
                <w:i w:val="0"/>
                <w:caps w:val="0"/>
                <w:color w:val="666666"/>
                <w:spacing w:val="0"/>
                <w:sz w:val="30"/>
                <w:szCs w:val="30"/>
                <w:shd w:val="clear" w:fill="FFFFFF"/>
                <w:vertAlign w:val="baseline"/>
              </w:rPr>
              <w:t>“★”符号标明的条款为实质性要求和条件，对其中任何一条的偏离，为实质性偏离，其投标无效。</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1551" w:type="dxa"/>
            <w:vMerge w:val="continue"/>
            <w:tcBorders>
              <w:left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887" w:type="dxa"/>
            <w:vMerge w:val="continue"/>
            <w:tcBorders>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660" w:type="dxa"/>
            <w:tcBorders>
              <w:top w:val="single" w:color="auto" w:sz="4" w:space="0"/>
              <w:left w:val="single" w:color="auto" w:sz="4" w:space="0"/>
              <w:bottom w:val="nil"/>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10</w:t>
            </w:r>
          </w:p>
        </w:tc>
        <w:tc>
          <w:tcPr>
            <w:tcW w:w="5338" w:type="dxa"/>
            <w:tcBorders>
              <w:top w:val="single" w:color="auto" w:sz="4" w:space="0"/>
              <w:left w:val="single" w:color="auto" w:sz="4" w:space="0"/>
              <w:bottom w:val="nil"/>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投标人所投电热蒸汽发生器须与采购人现有脉动真空灭菌器、全自动清洗消毒器等设备完全兼容，保证蒸汽供应接口、压力参数、流量参数等技术指标与原有灭菌设备匹配，能够实现无缝对接和安全运行。投标人须在投标文件中提供兼容性承诺函及技术匹配方案，并在中标后配合采购人进行现场联调测试，确保兼容性满足实际使用要求。</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1722" w:hRule="atLeast"/>
          <w:jc w:val="center"/>
        </w:trPr>
        <w:tc>
          <w:tcPr>
            <w:tcW w:w="1551" w:type="dxa"/>
            <w:vMerge w:val="restart"/>
            <w:tcBorders>
              <w:top w:val="single" w:color="auto" w:sz="4" w:space="0"/>
              <w:left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商务部分(F2、满分为 100 分)</w:t>
            </w:r>
          </w:p>
        </w:tc>
        <w:tc>
          <w:tcPr>
            <w:tcW w:w="887" w:type="dxa"/>
            <w:tcBorders>
              <w:top w:val="single" w:color="auto" w:sz="4" w:space="0"/>
              <w:left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类似业绩</w:t>
            </w:r>
          </w:p>
        </w:tc>
        <w:tc>
          <w:tcPr>
            <w:tcW w:w="660" w:type="dxa"/>
            <w:tcBorders>
              <w:top w:val="single" w:color="auto" w:sz="4" w:space="0"/>
              <w:left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50</w:t>
            </w:r>
          </w:p>
        </w:tc>
        <w:tc>
          <w:tcPr>
            <w:tcW w:w="533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投标人提供所投</w:t>
            </w:r>
            <w:r>
              <w:rPr>
                <w:rFonts w:hint="eastAsia" w:ascii="仿宋" w:hAnsi="仿宋" w:eastAsia="仿宋" w:cs="仿宋"/>
                <w:i w:val="0"/>
                <w:caps w:val="0"/>
                <w:color w:val="666666"/>
                <w:spacing w:val="0"/>
                <w:sz w:val="30"/>
                <w:szCs w:val="30"/>
                <w:shd w:val="clear" w:fill="FFFFFF"/>
                <w:vertAlign w:val="baseline"/>
                <w:lang w:val="en-US" w:eastAsia="zh-CN"/>
              </w:rPr>
              <w:t>同</w:t>
            </w:r>
            <w:r>
              <w:rPr>
                <w:rFonts w:hint="eastAsia" w:ascii="仿宋" w:hAnsi="仿宋" w:eastAsia="仿宋" w:cs="仿宋"/>
                <w:i w:val="0"/>
                <w:caps w:val="0"/>
                <w:color w:val="666666"/>
                <w:spacing w:val="0"/>
                <w:sz w:val="30"/>
                <w:szCs w:val="30"/>
                <w:shd w:val="clear" w:fill="FFFFFF"/>
                <w:vertAlign w:val="baseline"/>
              </w:rPr>
              <w:t>产品近三年（以投标截止时间前 36 个月内为准）所投同</w:t>
            </w:r>
            <w:r>
              <w:rPr>
                <w:rFonts w:hint="eastAsia" w:ascii="仿宋" w:hAnsi="仿宋" w:eastAsia="仿宋" w:cs="仿宋"/>
                <w:i w:val="0"/>
                <w:caps w:val="0"/>
                <w:color w:val="666666"/>
                <w:spacing w:val="0"/>
                <w:sz w:val="30"/>
                <w:szCs w:val="30"/>
                <w:shd w:val="clear" w:fill="FFFFFF"/>
                <w:vertAlign w:val="baseline"/>
                <w:lang w:val="en-US" w:eastAsia="zh-CN"/>
              </w:rPr>
              <w:t>型号</w:t>
            </w:r>
            <w:r>
              <w:rPr>
                <w:rFonts w:hint="eastAsia" w:ascii="仿宋" w:hAnsi="仿宋" w:eastAsia="仿宋" w:cs="仿宋"/>
                <w:i w:val="0"/>
                <w:caps w:val="0"/>
                <w:color w:val="666666"/>
                <w:spacing w:val="0"/>
                <w:sz w:val="30"/>
                <w:szCs w:val="30"/>
                <w:shd w:val="clear" w:fill="FFFFFF"/>
                <w:vertAlign w:val="baseline"/>
              </w:rPr>
              <w:t>设备在</w:t>
            </w:r>
            <w:r>
              <w:rPr>
                <w:rFonts w:hint="eastAsia" w:ascii="仿宋" w:hAnsi="仿宋" w:eastAsia="仿宋" w:cs="仿宋"/>
                <w:i w:val="0"/>
                <w:caps w:val="0"/>
                <w:color w:val="666666"/>
                <w:spacing w:val="0"/>
                <w:sz w:val="30"/>
                <w:szCs w:val="30"/>
                <w:shd w:val="clear" w:fill="FFFFFF"/>
                <w:vertAlign w:val="baseline"/>
                <w:lang w:val="en-US" w:eastAsia="zh-CN"/>
              </w:rPr>
              <w:t>二</w:t>
            </w:r>
            <w:r>
              <w:rPr>
                <w:rFonts w:hint="eastAsia" w:ascii="仿宋" w:hAnsi="仿宋" w:eastAsia="仿宋" w:cs="仿宋"/>
                <w:i w:val="0"/>
                <w:caps w:val="0"/>
                <w:color w:val="666666"/>
                <w:spacing w:val="0"/>
                <w:sz w:val="30"/>
                <w:szCs w:val="30"/>
                <w:shd w:val="clear" w:fill="FFFFFF"/>
                <w:vertAlign w:val="baseline"/>
              </w:rPr>
              <w:t xml:space="preserve">级医院的供货业绩，每提供1份计 </w:t>
            </w:r>
            <w:r>
              <w:rPr>
                <w:rFonts w:hint="eastAsia" w:ascii="仿宋" w:hAnsi="仿宋" w:eastAsia="仿宋" w:cs="仿宋"/>
                <w:i w:val="0"/>
                <w:caps w:val="0"/>
                <w:color w:val="666666"/>
                <w:spacing w:val="0"/>
                <w:sz w:val="30"/>
                <w:szCs w:val="30"/>
                <w:shd w:val="clear" w:fill="FFFFFF"/>
                <w:vertAlign w:val="baseline"/>
                <w:lang w:val="en-US" w:eastAsia="zh-CN"/>
              </w:rPr>
              <w:t>10</w:t>
            </w:r>
            <w:r>
              <w:rPr>
                <w:rFonts w:hint="eastAsia" w:ascii="仿宋" w:hAnsi="仿宋" w:eastAsia="仿宋" w:cs="仿宋"/>
                <w:i w:val="0"/>
                <w:caps w:val="0"/>
                <w:color w:val="666666"/>
                <w:spacing w:val="0"/>
                <w:sz w:val="30"/>
                <w:szCs w:val="30"/>
                <w:shd w:val="clear" w:fill="FFFFFF"/>
                <w:vertAlign w:val="baseline"/>
              </w:rPr>
              <w:t>分，最高计</w:t>
            </w:r>
            <w:r>
              <w:rPr>
                <w:rFonts w:hint="eastAsia" w:ascii="仿宋" w:hAnsi="仿宋" w:eastAsia="仿宋" w:cs="仿宋"/>
                <w:i w:val="0"/>
                <w:caps w:val="0"/>
                <w:color w:val="666666"/>
                <w:spacing w:val="0"/>
                <w:sz w:val="30"/>
                <w:szCs w:val="30"/>
                <w:shd w:val="clear" w:fill="FFFFFF"/>
                <w:vertAlign w:val="baseline"/>
                <w:lang w:val="en-US" w:eastAsia="zh-CN"/>
              </w:rPr>
              <w:t>50</w:t>
            </w:r>
            <w:r>
              <w:rPr>
                <w:rFonts w:hint="eastAsia" w:ascii="仿宋" w:hAnsi="仿宋" w:eastAsia="仿宋" w:cs="仿宋"/>
                <w:i w:val="0"/>
                <w:caps w:val="0"/>
                <w:color w:val="666666"/>
                <w:spacing w:val="0"/>
                <w:sz w:val="30"/>
                <w:szCs w:val="30"/>
                <w:shd w:val="clear" w:fill="FFFFFF"/>
                <w:vertAlign w:val="baseline"/>
              </w:rPr>
              <w:t>分，须提供中标（成交）通知书或合同复印件并加盖投标人公章，未提供或提供不全不计分。</w:t>
            </w:r>
          </w:p>
        </w:tc>
      </w:tr>
      <w:tr>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0" w:hRule="atLeast"/>
          <w:jc w:val="center"/>
        </w:trPr>
        <w:tc>
          <w:tcPr>
            <w:tcW w:w="1551" w:type="dxa"/>
            <w:vMerge w:val="continue"/>
            <w:tcBorders>
              <w:left w:val="single" w:color="auto" w:sz="4" w:space="0"/>
              <w:bottom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887" w:type="dxa"/>
            <w:tcBorders>
              <w:top w:val="single" w:color="auto" w:sz="4" w:space="0"/>
              <w:left w:val="single" w:color="auto" w:sz="4" w:space="0"/>
              <w:bottom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lang w:val="en-US" w:eastAsia="zh-CN"/>
              </w:rPr>
              <w:t>售后服务方案</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660" w:type="dxa"/>
            <w:tcBorders>
              <w:top w:val="single" w:color="auto" w:sz="4" w:space="0"/>
              <w:left w:val="single" w:color="auto" w:sz="4" w:space="0"/>
              <w:bottom w:val="single" w:color="auto" w:sz="4" w:space="0"/>
              <w:right w:val="nil"/>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50</w:t>
            </w:r>
          </w:p>
        </w:tc>
        <w:tc>
          <w:tcPr>
            <w:tcW w:w="533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top"/>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根据投标人所提供的售后服务方案（包括但不限于：项目实施方案</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rPr>
              <w:t xml:space="preserve">售后服务团队及培训方案、售后服务保障、备品备件、售后时间安排和应急响应及到现场时间、故障处理技术支持服务）等进行综合评审：方案内容描述完整、科学合理、层次细化、有针对性、可操作性强的，符合本项目实际情况且方案不存在缺漏项或缺陷的计 </w:t>
            </w:r>
            <w:r>
              <w:rPr>
                <w:rFonts w:hint="eastAsia" w:ascii="仿宋" w:hAnsi="仿宋" w:eastAsia="仿宋" w:cs="仿宋"/>
                <w:i w:val="0"/>
                <w:caps w:val="0"/>
                <w:color w:val="666666"/>
                <w:spacing w:val="0"/>
                <w:sz w:val="30"/>
                <w:szCs w:val="30"/>
                <w:shd w:val="clear" w:fill="FFFFFF"/>
                <w:vertAlign w:val="baseline"/>
                <w:lang w:val="en-US" w:eastAsia="zh-CN"/>
              </w:rPr>
              <w:t>50</w:t>
            </w:r>
            <w:r>
              <w:rPr>
                <w:rFonts w:hint="eastAsia" w:ascii="仿宋" w:hAnsi="仿宋" w:eastAsia="仿宋" w:cs="仿宋"/>
                <w:i w:val="0"/>
                <w:caps w:val="0"/>
                <w:color w:val="666666"/>
                <w:spacing w:val="0"/>
                <w:sz w:val="30"/>
                <w:szCs w:val="30"/>
                <w:shd w:val="clear" w:fill="FFFFFF"/>
                <w:vertAlign w:val="baseline"/>
              </w:rPr>
              <w:t xml:space="preserve"> 分；有内容缺漏项的每处扣 5分；有内容缺陷的每处扣 </w:t>
            </w:r>
            <w:r>
              <w:rPr>
                <w:rFonts w:hint="eastAsia" w:ascii="仿宋" w:hAnsi="仿宋" w:eastAsia="仿宋" w:cs="仿宋"/>
                <w:i w:val="0"/>
                <w:caps w:val="0"/>
                <w:color w:val="666666"/>
                <w:spacing w:val="0"/>
                <w:sz w:val="30"/>
                <w:szCs w:val="30"/>
                <w:shd w:val="clear" w:fill="FFFFFF"/>
                <w:vertAlign w:val="baseline"/>
                <w:lang w:val="en-US" w:eastAsia="zh-CN"/>
              </w:rPr>
              <w:t>5</w:t>
            </w:r>
            <w:r>
              <w:rPr>
                <w:rFonts w:hint="eastAsia" w:ascii="仿宋" w:hAnsi="仿宋" w:eastAsia="仿宋" w:cs="仿宋"/>
                <w:i w:val="0"/>
                <w:caps w:val="0"/>
                <w:color w:val="666666"/>
                <w:spacing w:val="0"/>
                <w:sz w:val="30"/>
                <w:szCs w:val="30"/>
                <w:shd w:val="clear" w:fill="FFFFFF"/>
                <w:vertAlign w:val="baseline"/>
              </w:rPr>
              <w:t>分，未提供不计分。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（备注：1、缺漏项：是指未提供对应内容；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2、缺陷：是指描述不清、内容不完整、非专门针对本项目或者不适用本项目、内容前后矛盾、存在歧义、逻辑混乱、无条理性等）</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br w:type="page"/>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1" w:firstLineChars="5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附件二：</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firstLine="2891" w:firstLineChars="800"/>
        <w:textAlignment w:val="baseline"/>
        <w:rPr>
          <w:rFonts w:hint="eastAsia" w:ascii="仿宋" w:hAnsi="仿宋" w:eastAsia="仿宋" w:cs="仿宋"/>
          <w:b/>
          <w:bCs/>
          <w:i w:val="0"/>
          <w:caps w:val="0"/>
          <w:color w:val="666666"/>
          <w:spacing w:val="0"/>
          <w:sz w:val="36"/>
          <w:szCs w:val="36"/>
          <w:shd w:val="clear" w:fill="FFFFFF"/>
          <w:vertAlign w:val="baseline"/>
          <w:lang w:val="en-US" w:eastAsia="zh-CN"/>
        </w:rPr>
      </w:pPr>
      <w:r>
        <w:rPr>
          <w:rFonts w:hint="eastAsia" w:ascii="仿宋" w:hAnsi="仿宋" w:eastAsia="仿宋" w:cs="仿宋"/>
          <w:b/>
          <w:bCs/>
          <w:i w:val="0"/>
          <w:caps w:val="0"/>
          <w:color w:val="666666"/>
          <w:spacing w:val="0"/>
          <w:sz w:val="36"/>
          <w:szCs w:val="36"/>
          <w:shd w:val="clear" w:fill="FFFFFF"/>
          <w:vertAlign w:val="baseline"/>
          <w:lang w:val="en-US" w:eastAsia="zh-CN"/>
        </w:rPr>
        <w:t xml:space="preserve">投标报价表 </w:t>
      </w:r>
    </w:p>
    <w:tbl>
      <w:tblPr>
        <w:tblStyle w:val="10"/>
        <w:tblW w:w="10050" w:type="dxa"/>
        <w:tblInd w:w="-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94"/>
        <w:gridCol w:w="2591"/>
        <w:gridCol w:w="2550"/>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序号</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采购项目名称</w:t>
            </w:r>
          </w:p>
        </w:tc>
        <w:tc>
          <w:tcPr>
            <w:tcW w:w="2591"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tc>
        <w:tc>
          <w:tcPr>
            <w:tcW w:w="2550"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采购编号</w:t>
            </w:r>
          </w:p>
        </w:tc>
        <w:tc>
          <w:tcPr>
            <w:tcW w:w="2040"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1</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供应商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名称</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2</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数量</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3</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总报价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人民币</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大写：                     元人民币整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小写：                     元人民币整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675"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4</w:t>
            </w:r>
          </w:p>
        </w:tc>
        <w:tc>
          <w:tcPr>
            <w:tcW w:w="2194" w:type="dxa"/>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备注</w:t>
            </w:r>
          </w:p>
        </w:tc>
        <w:tc>
          <w:tcPr>
            <w:tcW w:w="7181" w:type="dxa"/>
            <w:gridSpan w:val="3"/>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说明：本表不要装订在响应文件内 ，单独密封递交</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法定代表人或其委托代理人签字：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年   月    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63" w:firstLineChars="1150"/>
        <w:textAlignment w:val="baseline"/>
        <w:rPr>
          <w:rFonts w:hint="eastAsia" w:ascii="仿宋" w:hAnsi="仿宋" w:eastAsia="仿宋" w:cs="仿宋"/>
          <w:b/>
          <w:bCs/>
          <w:i w:val="0"/>
          <w:caps w:val="0"/>
          <w:color w:val="666666"/>
          <w:spacing w:val="0"/>
          <w:sz w:val="30"/>
          <w:szCs w:val="30"/>
          <w:shd w:val="clear" w:fill="FFFFFF"/>
          <w:vertAlign w:val="baseline"/>
        </w:rPr>
      </w:pPr>
      <w:r>
        <w:rPr>
          <w:rFonts w:hint="eastAsia" w:ascii="仿宋" w:hAnsi="仿宋" w:eastAsia="仿宋" w:cs="仿宋"/>
          <w:b/>
          <w:bCs/>
          <w:i w:val="0"/>
          <w:caps w:val="0"/>
          <w:color w:val="666666"/>
          <w:spacing w:val="0"/>
          <w:sz w:val="30"/>
          <w:szCs w:val="30"/>
          <w:shd w:val="clear" w:fill="FFFFFF"/>
          <w:vertAlign w:val="baseline"/>
        </w:rPr>
        <w:t>投标人资格声明</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致(</w:t>
      </w:r>
      <w:r>
        <w:rPr>
          <w:rFonts w:hint="eastAsia" w:ascii="仿宋" w:hAnsi="仿宋" w:eastAsia="仿宋" w:cs="仿宋"/>
          <w:i w:val="0"/>
          <w:caps w:val="0"/>
          <w:color w:val="666666"/>
          <w:spacing w:val="0"/>
          <w:sz w:val="30"/>
          <w:szCs w:val="30"/>
          <w:shd w:val="clear" w:fill="FFFFFF"/>
          <w:vertAlign w:val="baseline"/>
          <w:lang w:eastAsia="zh-CN"/>
        </w:rPr>
        <w:t>采购</w:t>
      </w:r>
      <w:r>
        <w:rPr>
          <w:rFonts w:hint="eastAsia" w:ascii="仿宋" w:hAnsi="仿宋" w:eastAsia="仿宋" w:cs="仿宋"/>
          <w:i w:val="0"/>
          <w:caps w:val="0"/>
          <w:color w:val="666666"/>
          <w:spacing w:val="0"/>
          <w:sz w:val="30"/>
          <w:szCs w:val="30"/>
          <w:shd w:val="clear" w:fill="FFFFFF"/>
          <w:vertAlign w:val="baseline"/>
        </w:rPr>
        <w:t>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按照</w:t>
      </w:r>
      <w:r>
        <w:rPr>
          <w:rFonts w:hint="eastAsia" w:ascii="仿宋" w:hAnsi="仿宋" w:eastAsia="仿宋" w:cs="仿宋"/>
          <w:i w:val="0"/>
          <w:caps w:val="0"/>
          <w:color w:val="666666"/>
          <w:spacing w:val="0"/>
          <w:sz w:val="30"/>
          <w:szCs w:val="30"/>
          <w:shd w:val="clear" w:fill="FFFFFF"/>
          <w:vertAlign w:val="baseline"/>
          <w:lang w:eastAsia="zh-CN"/>
        </w:rPr>
        <w:t>遴选文件</w:t>
      </w:r>
      <w:r>
        <w:rPr>
          <w:rFonts w:hint="eastAsia" w:ascii="仿宋" w:hAnsi="仿宋" w:eastAsia="仿宋" w:cs="仿宋"/>
          <w:i w:val="0"/>
          <w:caps w:val="0"/>
          <w:color w:val="666666"/>
          <w:spacing w:val="0"/>
          <w:sz w:val="30"/>
          <w:szCs w:val="30"/>
          <w:shd w:val="clear" w:fill="FFFFFF"/>
          <w:vertAlign w:val="baseline"/>
        </w:rPr>
        <w:t>的规定，我单位郑重声明如下：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一、我单位是按照中华人民共和国法律规定登记注册的，注册地点为      ，全称为      ，统一社会信用代码为      ，法定代表人为      ，具有独立承担民事责任的能力。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二、我单位具有良好的商业信誉和健全的财务会计制度。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三、我单位具有履行本项目采购合同所必需的设备和专业技术能力。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四、我单位在参加本</w:t>
      </w:r>
      <w:r>
        <w:rPr>
          <w:rFonts w:hint="eastAsia" w:ascii="仿宋" w:hAnsi="仿宋" w:eastAsia="仿宋" w:cs="仿宋"/>
          <w:i w:val="0"/>
          <w:caps w:val="0"/>
          <w:color w:val="666666"/>
          <w:spacing w:val="0"/>
          <w:sz w:val="30"/>
          <w:szCs w:val="30"/>
          <w:shd w:val="clear" w:fill="FFFFFF"/>
          <w:vertAlign w:val="baseline"/>
          <w:lang w:val="en-US" w:eastAsia="zh-CN"/>
        </w:rPr>
        <w:t>遴选</w:t>
      </w:r>
      <w:r>
        <w:rPr>
          <w:rFonts w:hint="eastAsia" w:ascii="仿宋" w:hAnsi="仿宋" w:eastAsia="仿宋" w:cs="仿宋"/>
          <w:i w:val="0"/>
          <w:caps w:val="0"/>
          <w:color w:val="666666"/>
          <w:spacing w:val="0"/>
          <w:sz w:val="30"/>
          <w:szCs w:val="30"/>
          <w:shd w:val="clear" w:fill="FFFFFF"/>
          <w:vertAlign w:val="baseline"/>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五、我单位具备法律、行政法规规定的其他条件。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六、与我单位存在“单位负责人为同一人或者存在直接控股、管理关系”的其他法人单位信息如下（如无，填写“无”）：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1、与我单位的法定代表人（单位负责人）为同一人的其他法人单位如下：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2、我单位直接控股的其他法人单位如下：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3、与我单位存在管理关系的其他法人单位如下：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我单位保证上述声明的事项都是真实的，如有虚假，我单位愿意承担相应的法律责任，并承担因此所造成的一切损失。</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我单位保证随时按照要求提供能够证明上述声明事项真实性的任何有效文件。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4050" w:firstLineChars="13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投标人名称（盖单位公章）：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50" w:firstLineChars="11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法定代表人或委托代理人（签字）：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750" w:firstLineChars="12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日期：    年    月    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A7C84"/>
    <w:rsid w:val="005C09E1"/>
    <w:rsid w:val="0061327A"/>
    <w:rsid w:val="01EB332D"/>
    <w:rsid w:val="022E2B1D"/>
    <w:rsid w:val="041F72EC"/>
    <w:rsid w:val="042E6D1A"/>
    <w:rsid w:val="046F1FA3"/>
    <w:rsid w:val="063529B8"/>
    <w:rsid w:val="07F64558"/>
    <w:rsid w:val="09EB06B5"/>
    <w:rsid w:val="0A037876"/>
    <w:rsid w:val="0A7F1C54"/>
    <w:rsid w:val="0B5B1AAE"/>
    <w:rsid w:val="0D3E0D3D"/>
    <w:rsid w:val="0D6F1D69"/>
    <w:rsid w:val="0DE1394E"/>
    <w:rsid w:val="0DE53098"/>
    <w:rsid w:val="0E23413B"/>
    <w:rsid w:val="0F0079FF"/>
    <w:rsid w:val="0F374490"/>
    <w:rsid w:val="115E2D6B"/>
    <w:rsid w:val="11D1502A"/>
    <w:rsid w:val="11FA241B"/>
    <w:rsid w:val="12584586"/>
    <w:rsid w:val="127C1E80"/>
    <w:rsid w:val="12B05C75"/>
    <w:rsid w:val="1340660F"/>
    <w:rsid w:val="144E55A1"/>
    <w:rsid w:val="14C1211F"/>
    <w:rsid w:val="17234412"/>
    <w:rsid w:val="182C3CBB"/>
    <w:rsid w:val="1B9F47A0"/>
    <w:rsid w:val="1F9A6BBC"/>
    <w:rsid w:val="21155149"/>
    <w:rsid w:val="234C07DB"/>
    <w:rsid w:val="23747C32"/>
    <w:rsid w:val="25865D3E"/>
    <w:rsid w:val="26B7766A"/>
    <w:rsid w:val="26E82ADC"/>
    <w:rsid w:val="27112F7C"/>
    <w:rsid w:val="27B20F5C"/>
    <w:rsid w:val="27C07800"/>
    <w:rsid w:val="28CF486D"/>
    <w:rsid w:val="2B7C4355"/>
    <w:rsid w:val="2F4F22FC"/>
    <w:rsid w:val="2F610A6A"/>
    <w:rsid w:val="31BA7C84"/>
    <w:rsid w:val="33DE1E44"/>
    <w:rsid w:val="364B2F27"/>
    <w:rsid w:val="38AC0BDF"/>
    <w:rsid w:val="38C65049"/>
    <w:rsid w:val="3A1276DF"/>
    <w:rsid w:val="3AEB57CA"/>
    <w:rsid w:val="3B4E6CD0"/>
    <w:rsid w:val="3B6C495E"/>
    <w:rsid w:val="3D121D87"/>
    <w:rsid w:val="40142E33"/>
    <w:rsid w:val="40750FBC"/>
    <w:rsid w:val="43BF634B"/>
    <w:rsid w:val="453C6551"/>
    <w:rsid w:val="45517FA3"/>
    <w:rsid w:val="472253E6"/>
    <w:rsid w:val="485355B3"/>
    <w:rsid w:val="4D1B2F97"/>
    <w:rsid w:val="4D370022"/>
    <w:rsid w:val="51251D71"/>
    <w:rsid w:val="528211AF"/>
    <w:rsid w:val="53516175"/>
    <w:rsid w:val="5704029A"/>
    <w:rsid w:val="58D07B0F"/>
    <w:rsid w:val="59740840"/>
    <w:rsid w:val="5B1D1348"/>
    <w:rsid w:val="600A215C"/>
    <w:rsid w:val="6303124A"/>
    <w:rsid w:val="64AA5C56"/>
    <w:rsid w:val="67D43593"/>
    <w:rsid w:val="6802220A"/>
    <w:rsid w:val="682267BB"/>
    <w:rsid w:val="6B4F2564"/>
    <w:rsid w:val="6E256F74"/>
    <w:rsid w:val="701C4B60"/>
    <w:rsid w:val="72951FA0"/>
    <w:rsid w:val="747C03E3"/>
    <w:rsid w:val="76156B1B"/>
    <w:rsid w:val="765B53E5"/>
    <w:rsid w:val="78765386"/>
    <w:rsid w:val="7A4C2BAA"/>
    <w:rsid w:val="7AB12826"/>
    <w:rsid w:val="7B2F4CA5"/>
    <w:rsid w:val="7BCF7DED"/>
    <w:rsid w:val="7D217ED1"/>
    <w:rsid w:val="7D8B1768"/>
    <w:rsid w:val="7E836C34"/>
    <w:rsid w:val="7F270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4">
    <w:name w:val="Normal Indent"/>
    <w:basedOn w:val="1"/>
    <w:next w:val="1"/>
    <w:qFormat/>
    <w:uiPriority w:val="0"/>
    <w:pPr>
      <w:tabs>
        <w:tab w:val="left" w:pos="112"/>
      </w:tabs>
      <w:snapToGrid w:val="0"/>
      <w:spacing w:line="300" w:lineRule="auto"/>
      <w:ind w:firstLine="420"/>
      <w:jc w:val="left"/>
      <w:textAlignment w:val="top"/>
    </w:pPr>
    <w:rPr>
      <w:rFonts w:ascii="宋体"/>
      <w:sz w:val="28"/>
      <w:szCs w:val="20"/>
    </w:rPr>
  </w:style>
  <w:style w:type="paragraph" w:styleId="5">
    <w:name w:val="Body Text"/>
    <w:basedOn w:val="1"/>
    <w:qFormat/>
    <w:uiPriority w:val="0"/>
    <w:rPr>
      <w:rFonts w:ascii="宋体" w:hAnsi="宋体" w:eastAsia="宋体" w:cs="宋体"/>
      <w:sz w:val="24"/>
      <w:szCs w:val="24"/>
      <w:lang w:val="en-US" w:eastAsia="en-US"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0"/>
    <w:pPr>
      <w:tabs>
        <w:tab w:val="right" w:leader="dot" w:pos="9071"/>
      </w:tabs>
      <w:adjustRightInd w:val="0"/>
      <w:spacing w:before="50" w:beforeLines="50" w:line="400" w:lineRule="exact"/>
      <w:textAlignment w:val="baseline"/>
    </w:pPr>
    <w:rPr>
      <w:rFonts w:eastAsia="仿宋_GB2312"/>
      <w:b/>
      <w:kern w:val="0"/>
      <w:sz w:val="28"/>
      <w:szCs w:val="20"/>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正文_1"/>
    <w:qFormat/>
    <w:uiPriority w:val="0"/>
    <w:pPr>
      <w:widowControl w:val="0"/>
      <w:jc w:val="both"/>
    </w:pPr>
    <w:rPr>
      <w:rFonts w:ascii="Calibri" w:hAnsi="Calibri" w:eastAsia="宋体" w:cs="Times New Roman"/>
      <w:kern w:val="2"/>
      <w:sz w:val="21"/>
      <w:szCs w:val="22"/>
      <w:lang w:val="en-US" w:eastAsia="zh-CN" w:bidi="ar-SA"/>
    </w:rPr>
  </w:style>
  <w:style w:type="table" w:customStyle="1" w:styleId="14">
    <w:name w:val="Table Normal"/>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4133</Words>
  <Characters>4356</Characters>
  <Lines>0</Lines>
  <Paragraphs>0</Paragraphs>
  <TotalTime>2</TotalTime>
  <ScaleCrop>false</ScaleCrop>
  <LinksUpToDate>false</LinksUpToDate>
  <CharactersWithSpaces>4662</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2026-03-13T02:23:00Z</dcterms:created>
  <dc:creator>Administrator</dc:creator>
  <cp:lastModifiedBy>Administrator</cp:lastModifiedBy>
  <cp:lastPrinted>2026-04-16T03:39:00Z</cp:lastPrinted>
  <dcterms:modified xsi:type="dcterms:W3CDTF">2026-06-02T09:41:41Z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KSOTemplateDocerSaveRecord">
    <vt:lpwstr>eyJoZGlkIjoiNzM3ZWE2M2ZjNDUzYjk2M2QxYjM2NzZlZjRkMzJiMjIiLCJ1c2VySWQiOiI2NjkyOTUxODAifQ==</vt:lpwstr>
  </property>
  <property fmtid="{D5CDD505-2E9C-101B-9397-08002B2CF9AE}" pid="4" name="ICV">
    <vt:lpwstr>80D8A00E78EA4B74873CDC1135EDE00E</vt:lpwstr>
  </property>
</Properties>
</file>