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360" w:lineRule="auto"/>
        <w:ind w:right="0" w:rightChars="0"/>
        <w:jc w:val="both"/>
        <w:textAlignment w:val="auto"/>
        <w:outlineLvl w:val="9"/>
        <w:rPr>
          <w:rFonts w:hint="eastAsia" w:eastAsia="微软雅黑"/>
          <w:b/>
          <w:bCs/>
          <w:sz w:val="40"/>
          <w:szCs w:val="40"/>
          <w:lang w:val="en-US" w:eastAsia="zh-CN"/>
        </w:rPr>
      </w:pPr>
      <w:r>
        <w:rPr>
          <w:rFonts w:hint="eastAsia"/>
          <w:b/>
          <w:bCs/>
          <w:sz w:val="40"/>
          <w:szCs w:val="40"/>
          <w:lang w:val="en-US" w:eastAsia="zh-CN"/>
        </w:rPr>
        <w:t>附件1</w:t>
      </w:r>
    </w:p>
    <w:p>
      <w:pPr>
        <w:keepNext w:val="0"/>
        <w:keepLines w:val="0"/>
        <w:pageBreakBefore w:val="0"/>
        <w:widowControl w:val="0"/>
        <w:kinsoku/>
        <w:wordWrap/>
        <w:overflowPunct/>
        <w:topLinePunct w:val="0"/>
        <w:autoSpaceDE/>
        <w:autoSpaceDN/>
        <w:bidi w:val="0"/>
        <w:adjustRightInd/>
        <w:spacing w:line="360" w:lineRule="auto"/>
        <w:ind w:right="0" w:rightChars="0" w:firstLine="1201" w:firstLineChars="300"/>
        <w:jc w:val="both"/>
        <w:textAlignment w:val="auto"/>
        <w:outlineLvl w:val="9"/>
        <w:rPr>
          <w:b/>
          <w:bCs/>
          <w:sz w:val="40"/>
          <w:szCs w:val="40"/>
        </w:rPr>
      </w:pPr>
      <w:r>
        <w:rPr>
          <w:rFonts w:hint="eastAsia"/>
          <w:b/>
          <w:bCs/>
          <w:sz w:val="40"/>
          <w:szCs w:val="40"/>
        </w:rPr>
        <w:t>关节镜及镜鞘技术参数</w:t>
      </w:r>
      <w:bookmarkStart w:id="0" w:name="_GoBack"/>
      <w:bookmarkEnd w:id="0"/>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
          <w:bCs/>
          <w:sz w:val="28"/>
          <w:szCs w:val="28"/>
        </w:rPr>
        <w:t>一、关节镜</w:t>
      </w:r>
      <w:r>
        <w:rPr>
          <w:rFonts w:hint="eastAsia" w:ascii="仿宋" w:hAnsi="仿宋" w:eastAsia="仿宋" w:cs="仿宋"/>
          <w:b/>
          <w:bCs/>
          <w:sz w:val="28"/>
          <w:szCs w:val="28"/>
        </w:rPr>
        <w:tab/>
      </w:r>
      <w:r>
        <w:rPr>
          <w:rFonts w:hint="eastAsia" w:ascii="仿宋" w:hAnsi="仿宋" w:eastAsia="仿宋" w:cs="仿宋"/>
          <w:b/>
          <w:bCs/>
          <w:sz w:val="28"/>
          <w:szCs w:val="28"/>
          <w:lang w:val="en-US" w:eastAsia="zh-CN"/>
        </w:rPr>
        <w:t>技术参数</w:t>
      </w:r>
      <w:r>
        <w:rPr>
          <w:rFonts w:hint="eastAsia" w:ascii="仿宋" w:hAnsi="仿宋" w:eastAsia="仿宋" w:cs="仿宋"/>
          <w:b/>
          <w:bCs/>
          <w:sz w:val="28"/>
          <w:szCs w:val="28"/>
        </w:rPr>
        <w:tab/>
      </w:r>
      <w:r>
        <w:rPr>
          <w:rFonts w:hint="eastAsia" w:ascii="仿宋" w:hAnsi="仿宋" w:eastAsia="仿宋" w:cs="仿宋"/>
          <w:b/>
          <w:bCs/>
          <w:sz w:val="28"/>
          <w:szCs w:val="28"/>
        </w:rPr>
        <w:tab/>
      </w:r>
      <w:r>
        <w:rPr>
          <w:rFonts w:hint="eastAsia" w:ascii="仿宋" w:hAnsi="仿宋" w:eastAsia="仿宋" w:cs="仿宋"/>
          <w:b/>
          <w:sz w:val="28"/>
          <w:szCs w:val="28"/>
        </w:rPr>
        <w:tab/>
      </w:r>
      <w:r>
        <w:rPr>
          <w:rFonts w:hint="eastAsia" w:ascii="仿宋" w:hAnsi="仿宋" w:eastAsia="仿宋" w:cs="仿宋"/>
          <w:b/>
          <w:sz w:val="28"/>
          <w:szCs w:val="28"/>
        </w:rPr>
        <w:tab/>
      </w:r>
      <w:r>
        <w:rPr>
          <w:rFonts w:hint="eastAsia" w:ascii="仿宋" w:hAnsi="仿宋" w:eastAsia="仿宋" w:cs="仿宋"/>
          <w:b/>
          <w:sz w:val="28"/>
          <w:szCs w:val="28"/>
        </w:rPr>
        <w:tab/>
      </w:r>
      <w:r>
        <w:rPr>
          <w:rFonts w:hint="eastAsia" w:ascii="仿宋" w:hAnsi="仿宋" w:eastAsia="仿宋" w:cs="仿宋"/>
          <w:b/>
          <w:sz w:val="28"/>
          <w:szCs w:val="28"/>
        </w:rPr>
        <w:tab/>
      </w:r>
      <w:r>
        <w:rPr>
          <w:rFonts w:hint="eastAsia" w:ascii="仿宋" w:hAnsi="仿宋" w:eastAsia="仿宋" w:cs="仿宋"/>
          <w:b/>
          <w:sz w:val="28"/>
          <w:szCs w:val="28"/>
        </w:rPr>
        <w:tab/>
      </w:r>
      <w:r>
        <w:rPr>
          <w:rFonts w:hint="eastAsia" w:ascii="仿宋" w:hAnsi="仿宋" w:eastAsia="仿宋" w:cs="仿宋"/>
          <w:b/>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名称：30°关节镜</w:t>
      </w:r>
      <w:r>
        <w:rPr>
          <w:rFonts w:hint="eastAsia" w:ascii="仿宋" w:hAnsi="仿宋" w:eastAsia="仿宋" w:cs="仿宋"/>
          <w:bCs/>
          <w:sz w:val="28"/>
          <w:szCs w:val="28"/>
        </w:rPr>
        <w:tab/>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 xml:space="preserve"> 视场角：（≥65°） </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 xml:space="preserve">视向角：（30°）  </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
          <w:sz w:val="28"/>
          <w:szCs w:val="28"/>
        </w:rPr>
      </w:pPr>
      <w:r>
        <w:rPr>
          <w:rFonts w:hint="eastAsia" w:ascii="仿宋" w:hAnsi="仿宋" w:eastAsia="仿宋" w:cs="仿宋"/>
          <w:b/>
          <w:sz w:val="28"/>
          <w:szCs w:val="28"/>
          <w:lang w:val="en-US" w:eastAsia="zh-CN"/>
        </w:rPr>
        <w:t>4、</w:t>
      </w:r>
      <w:r>
        <w:rPr>
          <w:rFonts w:hint="eastAsia" w:ascii="仿宋" w:hAnsi="仿宋" w:eastAsia="仿宋" w:cs="仿宋"/>
          <w:b/>
          <w:sz w:val="28"/>
          <w:szCs w:val="28"/>
        </w:rPr>
        <w:t>▲工作长度：155mm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5、</w:t>
      </w:r>
      <w:r>
        <w:rPr>
          <w:rFonts w:hint="eastAsia" w:ascii="仿宋" w:hAnsi="仿宋" w:eastAsia="仿宋" w:cs="仿宋"/>
          <w:bCs/>
          <w:sz w:val="28"/>
          <w:szCs w:val="28"/>
        </w:rPr>
        <w:t>最大插入部外径（镜体外径Φ2.7mm）</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 xml:space="preserve">          </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6、</w:t>
      </w:r>
      <w:r>
        <w:rPr>
          <w:rFonts w:hint="eastAsia" w:ascii="仿宋" w:hAnsi="仿宋" w:eastAsia="仿宋" w:cs="仿宋"/>
          <w:bCs/>
          <w:sz w:val="28"/>
          <w:szCs w:val="28"/>
        </w:rPr>
        <w:t>设计光学工作距d0</w:t>
      </w:r>
      <w:r>
        <w:rPr>
          <w:rFonts w:hint="eastAsia" w:ascii="仿宋" w:hAnsi="仿宋" w:eastAsia="仿宋" w:cs="仿宋"/>
          <w:bCs/>
          <w:sz w:val="28"/>
          <w:szCs w:val="28"/>
        </w:rPr>
        <w:tab/>
      </w:r>
      <w:r>
        <w:rPr>
          <w:rFonts w:hint="eastAsia" w:ascii="仿宋" w:hAnsi="仿宋" w:eastAsia="仿宋" w:cs="仿宋"/>
          <w:bCs/>
          <w:sz w:val="28"/>
          <w:szCs w:val="28"/>
        </w:rPr>
        <w:t xml:space="preserve"> ≥10mm</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7、</w:t>
      </w:r>
      <w:r>
        <w:rPr>
          <w:rFonts w:hint="eastAsia" w:ascii="仿宋" w:hAnsi="仿宋" w:eastAsia="仿宋" w:cs="仿宋"/>
          <w:bCs/>
          <w:sz w:val="28"/>
          <w:szCs w:val="28"/>
        </w:rPr>
        <w:t>视场中心角分辨力</w:t>
      </w:r>
      <w:r>
        <w:rPr>
          <w:rFonts w:hint="eastAsia" w:ascii="仿宋" w:hAnsi="仿宋" w:eastAsia="仿宋" w:cs="仿宋"/>
          <w:bCs/>
          <w:sz w:val="28"/>
          <w:szCs w:val="28"/>
        </w:rPr>
        <w:tab/>
      </w:r>
      <w:r>
        <w:rPr>
          <w:rFonts w:hint="eastAsia" w:ascii="仿宋" w:hAnsi="仿宋" w:eastAsia="仿宋" w:cs="仿宋"/>
          <w:bCs/>
          <w:sz w:val="28"/>
          <w:szCs w:val="28"/>
        </w:rPr>
        <w:t>3.55C/(°)</w:t>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8、</w:t>
      </w:r>
      <w:r>
        <w:rPr>
          <w:rFonts w:hint="eastAsia" w:ascii="仿宋" w:hAnsi="仿宋" w:eastAsia="仿宋" w:cs="仿宋"/>
          <w:bCs/>
          <w:sz w:val="28"/>
          <w:szCs w:val="28"/>
        </w:rPr>
        <w:t>有效景深范围</w:t>
      </w:r>
      <w:r>
        <w:rPr>
          <w:rFonts w:hint="eastAsia" w:ascii="仿宋" w:hAnsi="仿宋" w:eastAsia="仿宋" w:cs="仿宋"/>
          <w:bCs/>
          <w:sz w:val="28"/>
          <w:szCs w:val="28"/>
        </w:rPr>
        <w:tab/>
      </w:r>
      <w:r>
        <w:rPr>
          <w:rFonts w:hint="eastAsia" w:ascii="仿宋" w:hAnsi="仿宋" w:eastAsia="仿宋" w:cs="仿宋"/>
          <w:bCs/>
          <w:sz w:val="28"/>
          <w:szCs w:val="28"/>
        </w:rPr>
        <w:t>3~100mm</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
          <w:sz w:val="28"/>
          <w:szCs w:val="28"/>
        </w:rPr>
      </w:pPr>
      <w:r>
        <w:rPr>
          <w:rFonts w:hint="eastAsia" w:ascii="仿宋" w:hAnsi="仿宋" w:eastAsia="仿宋" w:cs="仿宋"/>
          <w:b/>
          <w:sz w:val="28"/>
          <w:szCs w:val="28"/>
          <w:lang w:val="en-US" w:eastAsia="zh-CN"/>
        </w:rPr>
        <w:t>9、</w:t>
      </w:r>
      <w:r>
        <w:rPr>
          <w:rFonts w:hint="eastAsia" w:ascii="仿宋" w:hAnsi="仿宋" w:eastAsia="仿宋" w:cs="仿宋"/>
          <w:b/>
          <w:sz w:val="28"/>
          <w:szCs w:val="28"/>
        </w:rPr>
        <w:t xml:space="preserve">▲可134°高温高压消毒 </w:t>
      </w:r>
      <w:r>
        <w:rPr>
          <w:rFonts w:hint="eastAsia" w:ascii="仿宋" w:hAnsi="仿宋" w:eastAsia="仿宋" w:cs="仿宋"/>
          <w:b/>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 xml:space="preserve">二、镜鞘 </w:t>
      </w:r>
      <w:r>
        <w:rPr>
          <w:rFonts w:hint="eastAsia" w:ascii="仿宋" w:hAnsi="仿宋" w:eastAsia="仿宋" w:cs="仿宋"/>
          <w:b/>
          <w:bCs/>
          <w:sz w:val="28"/>
          <w:szCs w:val="28"/>
          <w:lang w:val="en-US" w:eastAsia="zh-CN"/>
        </w:rPr>
        <w:t>技术参数</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
          <w:sz w:val="28"/>
          <w:szCs w:val="28"/>
        </w:rPr>
        <w:t>1</w:t>
      </w:r>
      <w:r>
        <w:rPr>
          <w:rFonts w:hint="eastAsia" w:ascii="仿宋" w:hAnsi="仿宋" w:eastAsia="仿宋" w:cs="仿宋"/>
          <w:bCs/>
          <w:sz w:val="28"/>
          <w:szCs w:val="28"/>
        </w:rPr>
        <w:t>、直径6mm，工作长度155mm，穿刺锥直径4mm，工作长度160m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2、配合性能</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镜鞘与内镜管、闭孔器、穿刺针配合良好，进出镜鞘自如，不得有卡滞现象。</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3、锁止性能</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鞘套锁卡定位安全，可靠</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4、密封性能</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水阀密封性能良好，用水压法检测，在1min内渗水不超过5滴。</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5、外观</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器械焊接部位应牢固，焊缝应平整，不得有虚焊、脱焊、堆焊的等现象。器械表面应光滑，平直，不得有明显的碰伤和划痕</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6、耐腐蚀性能</w:t>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r>
        <w:rPr>
          <w:rFonts w:hint="eastAsia" w:ascii="仿宋" w:hAnsi="仿宋" w:eastAsia="仿宋" w:cs="仿宋"/>
          <w:bCs/>
          <w:sz w:val="28"/>
          <w:szCs w:val="28"/>
        </w:rPr>
        <w:tab/>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器械应有良好的耐腐蚀性能，应符合YY/T 0149-2006中5.4b的规定</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三、小关节器械配套参数</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
          <w:sz w:val="28"/>
          <w:szCs w:val="28"/>
          <w:lang w:val="en-US" w:eastAsia="zh-CN"/>
        </w:rPr>
        <w:t>1、</w:t>
      </w:r>
      <w:r>
        <w:rPr>
          <w:rFonts w:hint="eastAsia" w:ascii="仿宋" w:hAnsi="仿宋" w:eastAsia="仿宋" w:cs="仿宋"/>
          <w:b/>
          <w:sz w:val="28"/>
          <w:szCs w:val="28"/>
        </w:rPr>
        <w:t>▲蓝钳：</w:t>
      </w:r>
      <w:r>
        <w:rPr>
          <w:rFonts w:hint="eastAsia" w:ascii="仿宋" w:hAnsi="仿宋" w:eastAsia="仿宋" w:cs="仿宋"/>
          <w:bCs/>
          <w:sz w:val="28"/>
          <w:szCs w:val="28"/>
        </w:rPr>
        <w:t>(头部直方口，杆部左弯，杆部右弯，：咬切面1.2mm)(头部直方口，杆部左弯，杆部右弯：咬切面1.7mm)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所有篮钳工作长度90mm，超薄设计，使用灵活；采用高强度的材料，切口锋利，经久耐用；结构为榫卯结构，提高器械结合力；不用销钉固定，提高产品寿命，且不会在手术中崩断；适用于各种类型的消毒方式；符合人体工程学</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2、</w:t>
      </w:r>
      <w:r>
        <w:rPr>
          <w:rFonts w:hint="eastAsia" w:ascii="仿宋" w:hAnsi="仿宋" w:eastAsia="仿宋" w:cs="仿宋"/>
          <w:bCs/>
          <w:sz w:val="28"/>
          <w:szCs w:val="28"/>
        </w:rPr>
        <w:t>异物钳：头部碗口状，直径3mm，工作长度90mm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3、</w:t>
      </w:r>
      <w:r>
        <w:rPr>
          <w:rFonts w:hint="eastAsia" w:ascii="仿宋" w:hAnsi="仿宋" w:eastAsia="仿宋" w:cs="仿宋"/>
          <w:bCs/>
          <w:sz w:val="28"/>
          <w:szCs w:val="28"/>
        </w:rPr>
        <w:t>组织抓钳：头部带齿，直径3mm，工作长度90mm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4、</w:t>
      </w:r>
      <w:r>
        <w:rPr>
          <w:rFonts w:hint="eastAsia" w:ascii="仿宋" w:hAnsi="仿宋" w:eastAsia="仿宋" w:cs="仿宋"/>
          <w:bCs/>
          <w:sz w:val="28"/>
          <w:szCs w:val="28"/>
        </w:rPr>
        <w:t>游离抓钳：头部带齿中空，直径3mm，工作长度90mm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5、</w:t>
      </w:r>
      <w:r>
        <w:rPr>
          <w:rFonts w:hint="eastAsia" w:ascii="仿宋" w:hAnsi="仿宋" w:eastAsia="仿宋" w:cs="仿宋"/>
          <w:bCs/>
          <w:sz w:val="28"/>
          <w:szCs w:val="28"/>
        </w:rPr>
        <w:t>探针：直径1.5mm，头部工作长度3mm，工作长度120mm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6、</w:t>
      </w:r>
      <w:r>
        <w:rPr>
          <w:rFonts w:hint="eastAsia" w:ascii="仿宋" w:hAnsi="仿宋" w:eastAsia="仿宋" w:cs="仿宋"/>
          <w:bCs/>
          <w:sz w:val="28"/>
          <w:szCs w:val="28"/>
        </w:rPr>
        <w:t>勾刀：头部弯钩状，直径3mm，工作长度120mm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7、</w:t>
      </w:r>
      <w:r>
        <w:rPr>
          <w:rFonts w:hint="eastAsia" w:ascii="仿宋" w:hAnsi="仿宋" w:eastAsia="仿宋" w:cs="仿宋"/>
          <w:bCs/>
          <w:sz w:val="28"/>
          <w:szCs w:val="28"/>
        </w:rPr>
        <w:t>开口刮匙：头部圆形中空，直径4.2mm，工作长度160mm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8、</w:t>
      </w:r>
      <w:r>
        <w:rPr>
          <w:rFonts w:hint="eastAsia" w:ascii="仿宋" w:hAnsi="仿宋" w:eastAsia="仿宋" w:cs="仿宋"/>
          <w:bCs/>
          <w:sz w:val="28"/>
          <w:szCs w:val="28"/>
        </w:rPr>
        <w:t>微骨折器：头部角度15°，头部角度45°、头部角度60°，直径4mm，工作长度135mm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9、</w:t>
      </w:r>
      <w:r>
        <w:rPr>
          <w:rFonts w:hint="eastAsia" w:ascii="仿宋" w:hAnsi="仿宋" w:eastAsia="仿宋" w:cs="仿宋"/>
          <w:bCs/>
          <w:sz w:val="28"/>
          <w:szCs w:val="28"/>
        </w:rPr>
        <w:t>敲棒：直径5mm，工作长度60mm</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lang w:val="en-US" w:eastAsia="zh-CN"/>
        </w:rPr>
        <w:t>10、</w:t>
      </w:r>
      <w:r>
        <w:rPr>
          <w:rFonts w:hint="eastAsia" w:ascii="仿宋" w:hAnsi="仿宋" w:eastAsia="仿宋" w:cs="仿宋"/>
          <w:bCs/>
          <w:sz w:val="28"/>
          <w:szCs w:val="28"/>
        </w:rPr>
        <w:t>小关节镜配套消毒盒：双层</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四、整体要求</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1所有器械采用高强度材料（不锈钢S46910）且经热处理，硬度高</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Cs/>
          <w:sz w:val="28"/>
          <w:szCs w:val="28"/>
        </w:rPr>
      </w:pPr>
      <w:r>
        <w:rPr>
          <w:rFonts w:hint="eastAsia" w:ascii="仿宋" w:hAnsi="仿宋" w:eastAsia="仿宋" w:cs="仿宋"/>
          <w:bCs/>
          <w:sz w:val="28"/>
          <w:szCs w:val="28"/>
        </w:rPr>
        <w:t>2探针，头部圆润、光滑。剥离器、刮匙环口锋利</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Cs/>
          <w:sz w:val="28"/>
          <w:szCs w:val="28"/>
        </w:rPr>
        <w:t>3器械焊接部位牢固，焊缝应平整，没有虚焊、脱焊、堆焊的等现象</w:t>
      </w:r>
    </w:p>
    <w:p>
      <w:pPr>
        <w:keepNext w:val="0"/>
        <w:keepLines w:val="0"/>
        <w:pageBreakBefore w:val="0"/>
        <w:widowControl w:val="0"/>
        <w:kinsoku/>
        <w:wordWrap/>
        <w:overflowPunct/>
        <w:topLinePunct w:val="0"/>
        <w:autoSpaceDE/>
        <w:autoSpaceDN/>
        <w:bidi w:val="0"/>
        <w:adjustRightInd/>
        <w:spacing w:line="360" w:lineRule="auto"/>
        <w:ind w:left="0" w:leftChars="0" w:right="0" w:rightChars="0"/>
        <w:jc w:val="both"/>
        <w:textAlignment w:val="auto"/>
        <w:outlineLvl w:val="9"/>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五、商务需求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售后服务:负责调试安装至设备正常运转，设备质保一年，设备验收合格后开始计算，在保修期内供方将免费维修和更换属质量原因造成的零部件损坏，质保期满后提供终身维护及零配件供应和维修（保修期外只收取零配件成本费，免收人工服务费），提供零部件供应价格清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2、故障响应：电话远程连接提供及时的在线工程师技术支持故障响应到位时间4小时内，到位修复时间48小时内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3、技术培训要求：供应商应提供现场技术培训，保证使用人员正常操作设备的各种功能。培训内容至少包括：</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①对使用操作人员提供的正常使用和简单维护培训，应提供系统的培训教材，保证培训质量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②成交供应商除按要求现场培训外，适时提供远程指导等多种培训方式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4、包装：原厂原包装送货，货到采购人指定地点，经采购人指人员验证后方可开箱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5、本项目的安装由成交供应商负责，成交供应商应对产品和系统安装提供全面的技术服务与支持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6、对于验收不合格的，采购人有权退货，由此带来的一切损失由中标人自行负责。验收合格的，验收报告作为申请支付货款的依据。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7、设备使用年限：≧5年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8、设备生产日期：生产日期在一年以内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lang w:val="en-US" w:eastAsia="zh-CN"/>
        </w:rPr>
        <w:t>六、评分细则</w:t>
      </w:r>
    </w:p>
    <w:tbl>
      <w:tblPr>
        <w:tblStyle w:val="9"/>
        <w:tblW w:w="8966"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55"/>
        <w:gridCol w:w="860"/>
        <w:gridCol w:w="520"/>
        <w:gridCol w:w="6731"/>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171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评标因素和标准分因素</w:t>
            </w:r>
          </w:p>
        </w:tc>
        <w:tc>
          <w:tcPr>
            <w:tcW w:w="520"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分值</w:t>
            </w:r>
          </w:p>
        </w:tc>
        <w:tc>
          <w:tcPr>
            <w:tcW w:w="6731"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评分标准</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auto"/>
          <w:tblCellMar>
            <w:top w:w="15" w:type="dxa"/>
            <w:left w:w="15" w:type="dxa"/>
            <w:bottom w:w="15" w:type="dxa"/>
            <w:right w:w="15" w:type="dxa"/>
          </w:tblCellMar>
        </w:tblPrEx>
        <w:trPr>
          <w:trHeight w:val="2926" w:hRule="atLeast"/>
          <w:jc w:val="center"/>
        </w:trPr>
        <w:tc>
          <w:tcPr>
            <w:tcW w:w="855"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价格部分(A1)</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30分</w:t>
            </w:r>
          </w:p>
        </w:tc>
        <w:tc>
          <w:tcPr>
            <w:tcW w:w="860"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设备投标价</w:t>
            </w:r>
          </w:p>
        </w:tc>
        <w:tc>
          <w:tcPr>
            <w:tcW w:w="520"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30</w:t>
            </w:r>
          </w:p>
        </w:tc>
        <w:tc>
          <w:tcPr>
            <w:tcW w:w="6731"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以满足采购文件要求且投标价格最低的投标报价为评标基准价，其价格分为满分。其他供应商的价格分统一按照下列公式计算：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投标报价得分=(评标基准价÷投标报价)×30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评标委员会认为投标人的报价明显低于其他通过符合性审查投标人的报价，有可能影响产品质量或者不能诚信履约的,应当要求其在评标现场合理的时间内(30分钟内)提供书面说明,必要时提交相关证明材料;投标人不能证明其报价合理性的,评标委员会应当将其作为无效投标处理。</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auto"/>
          <w:tblCellMar>
            <w:top w:w="15" w:type="dxa"/>
            <w:left w:w="15" w:type="dxa"/>
            <w:bottom w:w="15" w:type="dxa"/>
            <w:right w:w="15" w:type="dxa"/>
          </w:tblCellMar>
        </w:tblPrEx>
        <w:trPr>
          <w:trHeight w:val="2224" w:hRule="atLeast"/>
          <w:jc w:val="center"/>
        </w:trPr>
        <w:tc>
          <w:tcPr>
            <w:tcW w:w="855"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技术部分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(A2)</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40分</w:t>
            </w:r>
          </w:p>
        </w:tc>
        <w:tc>
          <w:tcPr>
            <w:tcW w:w="860"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设备技术参数</w:t>
            </w:r>
          </w:p>
        </w:tc>
        <w:tc>
          <w:tcPr>
            <w:tcW w:w="520"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40</w:t>
            </w:r>
          </w:p>
        </w:tc>
        <w:tc>
          <w:tcPr>
            <w:tcW w:w="6731"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1、完全满足采购文件的技术要求的，计满分40分；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2、任何一项注“★”技术参数及商务条款出现负偏离或不响应的，视为无效投标；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3、注“▲”技术参数及商务条款为重要参数，每偏离一项扣10分。一般参数偏离一项扣5分。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r>
              <w:rPr>
                <w:rFonts w:hint="default" w:ascii="仿宋" w:hAnsi="仿宋" w:eastAsia="仿宋" w:cs="仿宋"/>
                <w:i w:val="0"/>
                <w:caps w:val="0"/>
                <w:color w:val="666666"/>
                <w:spacing w:val="0"/>
                <w:sz w:val="30"/>
                <w:szCs w:val="30"/>
                <w:shd w:val="clear" w:fill="FFFFFF"/>
                <w:vertAlign w:val="baseline"/>
                <w:lang w:val="en-US" w:eastAsia="zh-CN"/>
              </w:rPr>
              <w:t>技术</w:t>
            </w:r>
            <w:r>
              <w:rPr>
                <w:rFonts w:hint="eastAsia" w:ascii="仿宋" w:hAnsi="仿宋" w:eastAsia="仿宋" w:cs="仿宋"/>
                <w:i w:val="0"/>
                <w:caps w:val="0"/>
                <w:color w:val="666666"/>
                <w:spacing w:val="0"/>
                <w:sz w:val="30"/>
                <w:szCs w:val="30"/>
                <w:shd w:val="clear" w:fill="FFFFFF"/>
                <w:vertAlign w:val="baseline"/>
                <w:lang w:val="en-US" w:eastAsia="zh-CN"/>
              </w:rPr>
              <w:t>参数提供</w:t>
            </w:r>
            <w:r>
              <w:rPr>
                <w:rFonts w:hint="default" w:ascii="仿宋" w:hAnsi="仿宋" w:eastAsia="仿宋" w:cs="仿宋"/>
                <w:i w:val="0"/>
                <w:caps w:val="0"/>
                <w:color w:val="666666"/>
                <w:spacing w:val="0"/>
                <w:sz w:val="30"/>
                <w:szCs w:val="30"/>
                <w:shd w:val="clear" w:fill="FFFFFF"/>
                <w:vertAlign w:val="baseline"/>
                <w:lang w:val="en-US" w:eastAsia="zh-CN"/>
              </w:rPr>
              <w:t>佐证证明</w:t>
            </w:r>
            <w:r>
              <w:rPr>
                <w:rFonts w:hint="eastAsia" w:ascii="仿宋" w:hAnsi="仿宋" w:eastAsia="仿宋" w:cs="仿宋"/>
                <w:i w:val="0"/>
                <w:caps w:val="0"/>
                <w:color w:val="666666"/>
                <w:spacing w:val="0"/>
                <w:sz w:val="30"/>
                <w:szCs w:val="30"/>
                <w:shd w:val="clear" w:fill="FFFFFF"/>
                <w:vertAlign w:val="baseline"/>
                <w:lang w:val="en-US" w:eastAsia="zh-CN"/>
              </w:rPr>
              <w:t>材料(说明书复印件、检测报告复印件、实物照片或彩页并加盖投标供应商公章)，未提供视为不响应；</w:t>
            </w:r>
            <w:r>
              <w:rPr>
                <w:rFonts w:hint="default" w:ascii="仿宋" w:hAnsi="仿宋" w:eastAsia="仿宋" w:cs="仿宋"/>
                <w:i w:val="0"/>
                <w:caps w:val="0"/>
                <w:color w:val="666666"/>
                <w:spacing w:val="0"/>
                <w:sz w:val="30"/>
                <w:szCs w:val="30"/>
                <w:shd w:val="clear" w:fill="FFFFFF"/>
                <w:vertAlign w:val="baseline"/>
                <w:lang w:val="en-US" w:eastAsia="zh-CN"/>
              </w:rPr>
              <w:t>技术要求响应缺漏项的，按负偏离扣分；所有条款无响应或负偏离</w:t>
            </w:r>
            <w:r>
              <w:rPr>
                <w:rFonts w:hint="eastAsia" w:ascii="仿宋" w:hAnsi="仿宋" w:eastAsia="仿宋" w:cs="仿宋"/>
                <w:i w:val="0"/>
                <w:caps w:val="0"/>
                <w:color w:val="666666"/>
                <w:spacing w:val="0"/>
                <w:sz w:val="30"/>
                <w:szCs w:val="30"/>
                <w:shd w:val="clear" w:fill="FFFFFF"/>
                <w:vertAlign w:val="baseline"/>
                <w:lang w:val="en-US" w:eastAsia="zh-CN"/>
              </w:rPr>
              <w:t>≥6</w:t>
            </w:r>
            <w:r>
              <w:rPr>
                <w:rFonts w:hint="default" w:ascii="仿宋" w:hAnsi="仿宋" w:eastAsia="仿宋" w:cs="仿宋"/>
                <w:i w:val="0"/>
                <w:caps w:val="0"/>
                <w:color w:val="666666"/>
                <w:spacing w:val="0"/>
                <w:sz w:val="30"/>
                <w:szCs w:val="30"/>
                <w:shd w:val="clear" w:fill="FFFFFF"/>
                <w:vertAlign w:val="baseline"/>
                <w:lang w:val="en-US" w:eastAsia="zh-CN"/>
              </w:rPr>
              <w:t>项即视为无效投标。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5、投标文件须对采购需求逐项响应，在技术偏离表中标注说明文件或说明材料所在页码或所在章节，未标注视为不响应。</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shd w:val="clear" w:color="auto" w:fill="auto"/>
          <w:tblCellMar>
            <w:top w:w="15" w:type="dxa"/>
            <w:left w:w="15" w:type="dxa"/>
            <w:bottom w:w="15" w:type="dxa"/>
            <w:right w:w="15" w:type="dxa"/>
          </w:tblCellMar>
        </w:tblPrEx>
        <w:trPr>
          <w:trHeight w:val="1776" w:hRule="atLeast"/>
          <w:jc w:val="center"/>
        </w:trPr>
        <w:tc>
          <w:tcPr>
            <w:tcW w:w="855" w:type="dxa"/>
            <w:vMerge w:val="restart"/>
            <w:tcBorders>
              <w:top w:val="single" w:color="auto" w:sz="4" w:space="0"/>
              <w:left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商务部分(A3)</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30分</w:t>
            </w:r>
          </w:p>
        </w:tc>
        <w:tc>
          <w:tcPr>
            <w:tcW w:w="860"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rPr>
            </w:pPr>
            <w:r>
              <w:rPr>
                <w:rFonts w:hint="eastAsia" w:ascii="仿宋" w:hAnsi="仿宋" w:eastAsia="仿宋" w:cs="仿宋"/>
                <w:i w:val="0"/>
                <w:caps w:val="0"/>
                <w:color w:val="666666"/>
                <w:spacing w:val="0"/>
                <w:sz w:val="30"/>
                <w:szCs w:val="30"/>
                <w:shd w:val="clear" w:fill="FFFFFF"/>
                <w:vertAlign w:val="baseline"/>
                <w:lang w:val="en-US" w:eastAsia="zh-CN"/>
              </w:rPr>
              <w:t>售后服务及方案</w:t>
            </w:r>
          </w:p>
        </w:tc>
        <w:tc>
          <w:tcPr>
            <w:tcW w:w="520"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21</w:t>
            </w:r>
          </w:p>
        </w:tc>
        <w:tc>
          <w:tcPr>
            <w:tcW w:w="6731"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评委对投标人售后服务承诺书内容的完整性.可行性进行评价（包括但不限于故障解决方案，到达故障现场时间，售后服务措施）：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一档：（0分）未提供售后服务承诺或内容欠合理或不符合本项目特点和实际需求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二档（5分）：售后服务承诺基本满足采购需求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三挡（10分）：售后服务承诺完善，安排详细具体，内容完整。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四挡（16分）：售后服务承诺充分满足采购需求，安排详细具体，服务内容完整，齐全，可行。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（欠合理或不符合指：非专门针对本项目设备或不适用本项目设备的情形、内容不完整或缺少关键点、套用其他项目方案、内容前后矛盾、存在歧义、混乱、不可能实现的情形等任意一种情形。）</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2、质保期后维保方案 ：质保期后每延保1年加1分，满分5分。</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15" w:type="dxa"/>
            <w:left w:w="15" w:type="dxa"/>
            <w:bottom w:w="15" w:type="dxa"/>
            <w:right w:w="15" w:type="dxa"/>
          </w:tblCellMar>
        </w:tblPrEx>
        <w:trPr>
          <w:trHeight w:val="1097" w:hRule="atLeast"/>
          <w:jc w:val="center"/>
        </w:trPr>
        <w:tc>
          <w:tcPr>
            <w:tcW w:w="855" w:type="dxa"/>
            <w:vMerge w:val="continue"/>
            <w:tcBorders>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c>
          <w:tcPr>
            <w:tcW w:w="860"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产品业绩</w:t>
            </w:r>
          </w:p>
        </w:tc>
        <w:tc>
          <w:tcPr>
            <w:tcW w:w="520"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w:t>
            </w:r>
          </w:p>
        </w:tc>
        <w:tc>
          <w:tcPr>
            <w:tcW w:w="6731" w:type="dxa"/>
            <w:tcBorders>
              <w:top w:val="single" w:color="auto" w:sz="4" w:space="0"/>
              <w:left w:val="single" w:color="auto" w:sz="4" w:space="0"/>
              <w:bottom w:val="single" w:color="auto" w:sz="4" w:space="0"/>
              <w:right w:val="single" w:color="auto" w:sz="4" w:space="0"/>
              <w:tl2br w:val="nil"/>
              <w:tr2bl w:val="nil"/>
            </w:tcBorders>
            <w:shd w:val="clear" w:color="auto" w:fill="auto"/>
            <w:tcMar>
              <w:top w:w="0" w:type="dxa"/>
              <w:left w:w="108" w:type="dxa"/>
              <w:bottom w:w="0" w:type="dxa"/>
              <w:right w:w="108"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投标人或厂家提供所投产品近三年内销售业绩证明材料(如合同、中标通知书等相关证明材料复印件)并加盖单位公章，每提供一份计3分，满分计9分，未提供不计分；</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br w:type="page"/>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2891" w:firstLineChars="800"/>
        <w:textAlignment w:val="baseline"/>
        <w:rPr>
          <w:rFonts w:hint="eastAsia" w:ascii="仿宋" w:hAnsi="仿宋" w:eastAsia="仿宋" w:cs="仿宋"/>
          <w:b/>
          <w:bCs/>
          <w:i w:val="0"/>
          <w:caps w:val="0"/>
          <w:color w:val="666666"/>
          <w:spacing w:val="0"/>
          <w:sz w:val="36"/>
          <w:szCs w:val="36"/>
          <w:shd w:val="clear" w:fill="FFFFFF"/>
          <w:vertAlign w:val="baseline"/>
          <w:lang w:val="en-US" w:eastAsia="zh-CN"/>
        </w:rPr>
      </w:pPr>
      <w:r>
        <w:rPr>
          <w:rFonts w:hint="eastAsia" w:ascii="仿宋" w:hAnsi="仿宋" w:eastAsia="仿宋" w:cs="仿宋"/>
          <w:b/>
          <w:bCs/>
          <w:i w:val="0"/>
          <w:caps w:val="0"/>
          <w:color w:val="666666"/>
          <w:spacing w:val="0"/>
          <w:sz w:val="36"/>
          <w:szCs w:val="36"/>
          <w:shd w:val="clear" w:fill="FFFFFF"/>
          <w:vertAlign w:val="baseline"/>
          <w:lang w:val="en-US" w:eastAsia="zh-CN"/>
        </w:rPr>
        <w:t xml:space="preserve">投标报价表 </w:t>
      </w:r>
    </w:p>
    <w:tbl>
      <w:tblPr>
        <w:tblStyle w:val="10"/>
        <w:tblW w:w="1005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94"/>
        <w:gridCol w:w="2591"/>
        <w:gridCol w:w="255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序号</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采购项目名称</w:t>
            </w:r>
          </w:p>
        </w:tc>
        <w:tc>
          <w:tcPr>
            <w:tcW w:w="2591"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c>
          <w:tcPr>
            <w:tcW w:w="255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采购编号</w:t>
            </w:r>
          </w:p>
        </w:tc>
        <w:tc>
          <w:tcPr>
            <w:tcW w:w="204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供应商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名称</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数量</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总报价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人民币</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大写：                     元人民币整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小写：                     元人民币整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备注</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说明：本表不要装订在响应文件内 ，单独密封递交</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法定代表人或其委托代理人签字：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rPr>
        <w:t>投标人资格声明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067696"/>
    <w:multiLevelType w:val="singleLevel"/>
    <w:tmpl w:val="6A06769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61327A"/>
    <w:rsid w:val="041F72EC"/>
    <w:rsid w:val="042E6D1A"/>
    <w:rsid w:val="046F1FA3"/>
    <w:rsid w:val="07F64558"/>
    <w:rsid w:val="09EB06B5"/>
    <w:rsid w:val="0A037876"/>
    <w:rsid w:val="0B305E61"/>
    <w:rsid w:val="0B5B1AAE"/>
    <w:rsid w:val="0D3E0D3D"/>
    <w:rsid w:val="0D6F1D69"/>
    <w:rsid w:val="0DE53098"/>
    <w:rsid w:val="0F0079FF"/>
    <w:rsid w:val="0F374490"/>
    <w:rsid w:val="115E2D6B"/>
    <w:rsid w:val="11D1502A"/>
    <w:rsid w:val="12584586"/>
    <w:rsid w:val="127C1E80"/>
    <w:rsid w:val="1340660F"/>
    <w:rsid w:val="144E55A1"/>
    <w:rsid w:val="14C1211F"/>
    <w:rsid w:val="17234412"/>
    <w:rsid w:val="182C3CBB"/>
    <w:rsid w:val="1B7D3071"/>
    <w:rsid w:val="1B9F47A0"/>
    <w:rsid w:val="1F9A6BBC"/>
    <w:rsid w:val="21155149"/>
    <w:rsid w:val="234C07DB"/>
    <w:rsid w:val="23747C32"/>
    <w:rsid w:val="25865D3E"/>
    <w:rsid w:val="26B7766A"/>
    <w:rsid w:val="27112F7C"/>
    <w:rsid w:val="27B20F5C"/>
    <w:rsid w:val="27C07800"/>
    <w:rsid w:val="28CF486D"/>
    <w:rsid w:val="2F4F22FC"/>
    <w:rsid w:val="2F610A6A"/>
    <w:rsid w:val="31BA7C84"/>
    <w:rsid w:val="33DE1E44"/>
    <w:rsid w:val="364B2F27"/>
    <w:rsid w:val="38AC0BDF"/>
    <w:rsid w:val="38C65049"/>
    <w:rsid w:val="39E1221F"/>
    <w:rsid w:val="3B4E6CD0"/>
    <w:rsid w:val="3B6C495E"/>
    <w:rsid w:val="3D121D87"/>
    <w:rsid w:val="40142E33"/>
    <w:rsid w:val="40750FBC"/>
    <w:rsid w:val="43BF634B"/>
    <w:rsid w:val="453C6551"/>
    <w:rsid w:val="45517FA3"/>
    <w:rsid w:val="472253E6"/>
    <w:rsid w:val="485355B3"/>
    <w:rsid w:val="48CD1CF9"/>
    <w:rsid w:val="4D1B2F97"/>
    <w:rsid w:val="4D370022"/>
    <w:rsid w:val="51251D71"/>
    <w:rsid w:val="528211AF"/>
    <w:rsid w:val="53516175"/>
    <w:rsid w:val="5704029A"/>
    <w:rsid w:val="58D07B0F"/>
    <w:rsid w:val="59740840"/>
    <w:rsid w:val="5B1D1348"/>
    <w:rsid w:val="600A215C"/>
    <w:rsid w:val="64AA5C56"/>
    <w:rsid w:val="67D43593"/>
    <w:rsid w:val="6802220A"/>
    <w:rsid w:val="682267BB"/>
    <w:rsid w:val="6E256F74"/>
    <w:rsid w:val="701C4B60"/>
    <w:rsid w:val="72951FA0"/>
    <w:rsid w:val="747C03E3"/>
    <w:rsid w:val="76156B1B"/>
    <w:rsid w:val="765B53E5"/>
    <w:rsid w:val="7AB12826"/>
    <w:rsid w:val="7B2F4CA5"/>
    <w:rsid w:val="7BCF7DED"/>
    <w:rsid w:val="7D8B1768"/>
    <w:rsid w:val="7E836C34"/>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4133</Words>
  <Characters>4356</Characters>
  <Lines>0</Lines>
  <Paragraphs>0</Paragraphs>
  <TotalTime>3</TotalTime>
  <ScaleCrop>false</ScaleCrop>
  <LinksUpToDate>false</LinksUpToDate>
  <CharactersWithSpaces>4662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Administrator</cp:lastModifiedBy>
  <cp:lastPrinted>2026-04-16T03:39:00Z</cp:lastPrinted>
  <dcterms:modified xsi:type="dcterms:W3CDTF">2026-06-02T09:38:03Z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KSOTemplateDocerSaveRecord">
    <vt:lpwstr>eyJoZGlkIjoiNzM3ZWE2M2ZjNDUzYjk2M2QxYjM2NzZlZjRkMzJiMjIiLCJ1c2VySWQiOiI2NjkyOTUxODAifQ==</vt:lpwstr>
  </property>
  <property fmtid="{D5CDD505-2E9C-101B-9397-08002B2CF9AE}" pid="4" name="ICV">
    <vt:lpwstr>2C383BF8042D45D4837F6D5FDF0A6786</vt:lpwstr>
  </property>
</Properties>
</file>